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01D92">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highlight w:val="none"/>
        </w:rPr>
      </w:pPr>
    </w:p>
    <w:p w14:paraId="76135848">
      <w:pPr>
        <w:pStyle w:val="30"/>
        <w:rPr>
          <w:rFonts w:hint="default"/>
          <w:b/>
          <w:sz w:val="52"/>
          <w:szCs w:val="52"/>
          <w:highlight w:val="none"/>
        </w:rPr>
      </w:pPr>
    </w:p>
    <w:p w14:paraId="2BFE1643">
      <w:pPr>
        <w:pStyle w:val="30"/>
        <w:rPr>
          <w:rFonts w:hint="default"/>
          <w:b/>
          <w:sz w:val="52"/>
          <w:szCs w:val="52"/>
          <w:highlight w:val="none"/>
        </w:rPr>
      </w:pPr>
    </w:p>
    <w:p w14:paraId="1CC9F4FF">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highlight w:val="none"/>
        </w:rPr>
      </w:pPr>
      <w:r>
        <w:rPr>
          <w:rFonts w:hint="eastAsia" w:ascii="宋体"/>
          <w:b/>
          <w:kern w:val="0"/>
          <w:sz w:val="52"/>
          <w:szCs w:val="52"/>
          <w:highlight w:val="none"/>
        </w:rPr>
        <w:t>公开招标采购文件</w:t>
      </w:r>
    </w:p>
    <w:p w14:paraId="162168E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32"/>
          <w:highlight w:val="none"/>
        </w:rPr>
      </w:pPr>
      <w:r>
        <w:rPr>
          <w:rFonts w:hint="eastAsia" w:ascii="宋体"/>
          <w:b/>
          <w:kern w:val="0"/>
          <w:sz w:val="32"/>
          <w:highlight w:val="none"/>
        </w:rPr>
        <w:t>TZCCC-【2025】-1013号</w:t>
      </w:r>
    </w:p>
    <w:p w14:paraId="0276EFD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highlight w:val="none"/>
        </w:rPr>
      </w:pPr>
    </w:p>
    <w:p w14:paraId="55E4CEEB">
      <w:pPr>
        <w:autoSpaceDE w:val="0"/>
        <w:autoSpaceDN w:val="0"/>
        <w:adjustRightInd w:val="0"/>
        <w:spacing w:line="360" w:lineRule="auto"/>
        <w:rPr>
          <w:rFonts w:ascii="宋体"/>
          <w:b/>
          <w:kern w:val="0"/>
          <w:sz w:val="52"/>
          <w:szCs w:val="52"/>
          <w:highlight w:val="none"/>
        </w:rPr>
      </w:pPr>
    </w:p>
    <w:p w14:paraId="60F0333C">
      <w:pPr>
        <w:autoSpaceDE w:val="0"/>
        <w:autoSpaceDN w:val="0"/>
        <w:adjustRightInd w:val="0"/>
        <w:spacing w:line="360" w:lineRule="auto"/>
        <w:ind w:firstLine="1797" w:firstLineChars="642"/>
        <w:jc w:val="left"/>
        <w:rPr>
          <w:rFonts w:ascii="宋体"/>
          <w:kern w:val="0"/>
          <w:sz w:val="28"/>
          <w:highlight w:val="none"/>
        </w:rPr>
      </w:pPr>
    </w:p>
    <w:p w14:paraId="163592A0">
      <w:pPr>
        <w:autoSpaceDE w:val="0"/>
        <w:autoSpaceDN w:val="0"/>
        <w:adjustRightInd w:val="0"/>
        <w:spacing w:line="360" w:lineRule="auto"/>
        <w:ind w:firstLine="1797" w:firstLineChars="642"/>
        <w:jc w:val="left"/>
        <w:rPr>
          <w:rFonts w:ascii="宋体"/>
          <w:kern w:val="0"/>
          <w:sz w:val="28"/>
          <w:highlight w:val="none"/>
        </w:rPr>
      </w:pPr>
    </w:p>
    <w:p w14:paraId="1B742A99">
      <w:pPr>
        <w:autoSpaceDE w:val="0"/>
        <w:autoSpaceDN w:val="0"/>
        <w:adjustRightInd w:val="0"/>
        <w:spacing w:line="360" w:lineRule="auto"/>
        <w:jc w:val="center"/>
        <w:rPr>
          <w:rFonts w:ascii="宋体"/>
          <w:kern w:val="0"/>
          <w:sz w:val="28"/>
          <w:highlight w:val="none"/>
        </w:rPr>
      </w:pPr>
      <w:r>
        <w:rPr>
          <w:rFonts w:hint="eastAsia" w:ascii="宋体"/>
          <w:kern w:val="0"/>
          <w:sz w:val="28"/>
          <w:highlight w:val="none"/>
        </w:rPr>
        <w:t>采购项目：浙江金豹运业有限公司车辆保险采购</w:t>
      </w:r>
    </w:p>
    <w:p w14:paraId="2BC7400E">
      <w:pPr>
        <w:autoSpaceDE w:val="0"/>
        <w:autoSpaceDN w:val="0"/>
        <w:adjustRightInd w:val="0"/>
        <w:spacing w:line="360" w:lineRule="auto"/>
        <w:jc w:val="center"/>
        <w:rPr>
          <w:rFonts w:ascii="宋体"/>
          <w:kern w:val="0"/>
          <w:sz w:val="28"/>
          <w:highlight w:val="none"/>
        </w:rPr>
      </w:pPr>
      <w:r>
        <w:rPr>
          <w:rFonts w:hint="eastAsia" w:ascii="宋体"/>
          <w:kern w:val="0"/>
          <w:sz w:val="28"/>
          <w:highlight w:val="none"/>
        </w:rPr>
        <w:t>采 购 人：浙江金豹运业有限公司（盖章）</w:t>
      </w:r>
    </w:p>
    <w:p w14:paraId="036B4059">
      <w:pPr>
        <w:autoSpaceDE w:val="0"/>
        <w:autoSpaceDN w:val="0"/>
        <w:adjustRightInd w:val="0"/>
        <w:spacing w:line="360" w:lineRule="auto"/>
        <w:rPr>
          <w:rFonts w:ascii="宋体"/>
          <w:kern w:val="0"/>
          <w:sz w:val="28"/>
          <w:highlight w:val="none"/>
        </w:rPr>
      </w:pPr>
    </w:p>
    <w:p w14:paraId="409EC7B1">
      <w:pPr>
        <w:autoSpaceDE w:val="0"/>
        <w:autoSpaceDN w:val="0"/>
        <w:adjustRightInd w:val="0"/>
        <w:spacing w:line="360" w:lineRule="auto"/>
        <w:rPr>
          <w:rFonts w:ascii="宋体"/>
          <w:kern w:val="0"/>
          <w:sz w:val="28"/>
          <w:highlight w:val="none"/>
        </w:rPr>
      </w:pPr>
    </w:p>
    <w:p w14:paraId="086F8D9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highlight w:val="none"/>
        </w:rPr>
      </w:pPr>
    </w:p>
    <w:p w14:paraId="5C356DA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highlight w:val="none"/>
        </w:rPr>
      </w:pPr>
    </w:p>
    <w:p w14:paraId="2FFB0E6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highlight w:val="none"/>
        </w:rPr>
      </w:pPr>
    </w:p>
    <w:p w14:paraId="5D2158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highlight w:val="none"/>
        </w:rPr>
      </w:pPr>
    </w:p>
    <w:p w14:paraId="0D778D9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台州市建设咨询有限公司（盖章）</w:t>
      </w:r>
    </w:p>
    <w:p w14:paraId="0EBD7F2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highlight w:val="none"/>
        </w:rPr>
      </w:pPr>
      <w:r>
        <w:rPr>
          <w:rFonts w:hint="eastAsia" w:ascii="宋体" w:hAnsi="宋体" w:cs="宋体"/>
          <w:kern w:val="0"/>
          <w:sz w:val="28"/>
          <w:szCs w:val="28"/>
          <w:highlight w:val="none"/>
        </w:rPr>
        <w:t>2025年</w:t>
      </w:r>
      <w:r>
        <w:rPr>
          <w:rFonts w:hint="eastAsia" w:ascii="宋体" w:hAnsi="宋体" w:cs="宋体"/>
          <w:kern w:val="0"/>
          <w:sz w:val="28"/>
          <w:szCs w:val="28"/>
          <w:highlight w:val="none"/>
          <w:lang w:val="en-US" w:eastAsia="zh-CN"/>
        </w:rPr>
        <w:t>8</w:t>
      </w:r>
      <w:r>
        <w:rPr>
          <w:rFonts w:hint="eastAsia" w:ascii="宋体" w:hAnsi="宋体" w:cs="宋体"/>
          <w:kern w:val="0"/>
          <w:sz w:val="28"/>
          <w:szCs w:val="28"/>
          <w:highlight w:val="none"/>
        </w:rPr>
        <w:t>月</w:t>
      </w:r>
    </w:p>
    <w:p w14:paraId="068A511D">
      <w:pPr>
        <w:spacing w:line="360" w:lineRule="auto"/>
        <w:rPr>
          <w:highlight w:val="none"/>
        </w:rPr>
      </w:pPr>
    </w:p>
    <w:p w14:paraId="48A89F25">
      <w:pPr>
        <w:pStyle w:val="34"/>
        <w:spacing w:line="360" w:lineRule="auto"/>
        <w:rPr>
          <w:highlight w:val="none"/>
        </w:rPr>
      </w:pPr>
    </w:p>
    <w:p w14:paraId="6242BE63">
      <w:pPr>
        <w:pStyle w:val="34"/>
        <w:spacing w:line="360" w:lineRule="auto"/>
        <w:rPr>
          <w:highlight w:val="none"/>
        </w:rPr>
      </w:pPr>
    </w:p>
    <w:sdt>
      <w:sdtPr>
        <w:rPr>
          <w:rFonts w:ascii="宋体" w:hAnsi="宋体"/>
          <w:kern w:val="0"/>
          <w:sz w:val="28"/>
          <w:szCs w:val="28"/>
          <w:highlight w:val="none"/>
        </w:rPr>
        <w:id w:val="147471336"/>
        <w:docPartObj>
          <w:docPartGallery w:val="Table of Contents"/>
          <w:docPartUnique/>
        </w:docPartObj>
      </w:sdtPr>
      <w:sdtEndPr>
        <w:rPr>
          <w:rFonts w:ascii="宋体" w:hAnsi="宋体"/>
          <w:kern w:val="0"/>
          <w:sz w:val="20"/>
          <w:szCs w:val="20"/>
          <w:highlight w:val="none"/>
        </w:rPr>
      </w:sdtEndPr>
      <w:sdtContent>
        <w:p w14:paraId="1094E3E5">
          <w:pPr>
            <w:spacing w:line="360" w:lineRule="auto"/>
            <w:jc w:val="center"/>
            <w:rPr>
              <w:rFonts w:ascii="宋体" w:hAnsi="宋体"/>
              <w:kern w:val="0"/>
              <w:sz w:val="28"/>
              <w:szCs w:val="28"/>
              <w:highlight w:val="none"/>
            </w:rPr>
          </w:pPr>
          <w:bookmarkStart w:id="0" w:name="_Toc25017_WPSOffice_Type1"/>
        </w:p>
        <w:p w14:paraId="3E2438AB">
          <w:pPr>
            <w:spacing w:line="360" w:lineRule="auto"/>
            <w:jc w:val="center"/>
            <w:rPr>
              <w:sz w:val="28"/>
              <w:szCs w:val="28"/>
              <w:highlight w:val="none"/>
            </w:rPr>
          </w:pPr>
          <w:r>
            <w:rPr>
              <w:rFonts w:ascii="宋体" w:hAnsi="宋体"/>
              <w:b/>
              <w:bCs/>
              <w:sz w:val="36"/>
              <w:szCs w:val="36"/>
              <w:highlight w:val="none"/>
            </w:rPr>
            <w:t>目</w:t>
          </w:r>
          <w:r>
            <w:rPr>
              <w:rFonts w:hint="eastAsia" w:ascii="宋体" w:hAnsi="宋体"/>
              <w:b/>
              <w:bCs/>
              <w:sz w:val="36"/>
              <w:szCs w:val="36"/>
              <w:highlight w:val="none"/>
            </w:rPr>
            <w:t xml:space="preserve">  </w:t>
          </w:r>
          <w:r>
            <w:rPr>
              <w:rFonts w:ascii="宋体" w:hAnsi="宋体"/>
              <w:b/>
              <w:bCs/>
              <w:sz w:val="36"/>
              <w:szCs w:val="36"/>
              <w:highlight w:val="none"/>
            </w:rPr>
            <w:t>录</w:t>
          </w:r>
        </w:p>
        <w:p w14:paraId="2A3FA9BF">
          <w:pPr>
            <w:pStyle w:val="16"/>
            <w:tabs>
              <w:tab w:val="right" w:leader="dot" w:pos="8620"/>
            </w:tabs>
            <w:rPr>
              <w:rFonts w:eastAsiaTheme="minorEastAsia" w:cstheme="minorBidi"/>
              <w:sz w:val="28"/>
              <w:szCs w:val="28"/>
              <w:highlight w:val="none"/>
            </w:rPr>
          </w:pPr>
          <w:r>
            <w:rPr>
              <w:highlight w:val="none"/>
            </w:rPr>
            <w:fldChar w:fldCharType="begin"/>
          </w:r>
          <w:r>
            <w:rPr>
              <w:highlight w:val="none"/>
            </w:rPr>
            <w:instrText xml:space="preserve"> HYPERLINK \l "_Toc4350_WPSOffice_Level1" </w:instrText>
          </w:r>
          <w:r>
            <w:rPr>
              <w:highlight w:val="none"/>
            </w:rPr>
            <w:fldChar w:fldCharType="separate"/>
          </w:r>
          <w:r>
            <w:rPr>
              <w:rFonts w:hint="eastAsia" w:eastAsiaTheme="minorEastAsia" w:cstheme="minorBidi"/>
              <w:sz w:val="28"/>
              <w:szCs w:val="28"/>
              <w:highlight w:val="none"/>
            </w:rPr>
            <w:t>第一章 投标邀请</w:t>
          </w:r>
          <w:r>
            <w:rPr>
              <w:rFonts w:eastAsiaTheme="minorEastAsia" w:cstheme="minorBidi"/>
              <w:sz w:val="28"/>
              <w:szCs w:val="28"/>
              <w:highlight w:val="none"/>
            </w:rPr>
            <w:tab/>
          </w:r>
          <w:bookmarkStart w:id="1" w:name="_Toc4350_WPSOffice_Level1Page"/>
          <w:r>
            <w:rPr>
              <w:rFonts w:eastAsiaTheme="minorEastAsia" w:cstheme="minorBidi"/>
              <w:sz w:val="28"/>
              <w:szCs w:val="28"/>
              <w:highlight w:val="none"/>
            </w:rPr>
            <w:t>3</w:t>
          </w:r>
          <w:bookmarkEnd w:id="1"/>
          <w:r>
            <w:rPr>
              <w:rFonts w:eastAsiaTheme="minorEastAsia" w:cstheme="minorBidi"/>
              <w:sz w:val="28"/>
              <w:szCs w:val="28"/>
              <w:highlight w:val="none"/>
            </w:rPr>
            <w:fldChar w:fldCharType="end"/>
          </w:r>
        </w:p>
        <w:p w14:paraId="316211DE">
          <w:pPr>
            <w:pStyle w:val="16"/>
            <w:tabs>
              <w:tab w:val="right" w:leader="dot" w:pos="8620"/>
            </w:tabs>
            <w:rPr>
              <w:rFonts w:eastAsiaTheme="minorEastAsia" w:cstheme="minorBidi"/>
              <w:sz w:val="28"/>
              <w:szCs w:val="28"/>
              <w:highlight w:val="none"/>
            </w:rPr>
          </w:pPr>
          <w:r>
            <w:rPr>
              <w:highlight w:val="none"/>
            </w:rPr>
            <w:fldChar w:fldCharType="begin"/>
          </w:r>
          <w:r>
            <w:rPr>
              <w:highlight w:val="none"/>
            </w:rPr>
            <w:instrText xml:space="preserve"> HYPERLINK \l "_Toc25017_WPSOffice_Level1" </w:instrText>
          </w:r>
          <w:r>
            <w:rPr>
              <w:highlight w:val="none"/>
            </w:rPr>
            <w:fldChar w:fldCharType="separate"/>
          </w:r>
          <w:r>
            <w:rPr>
              <w:rFonts w:hint="eastAsia" w:eastAsiaTheme="minorEastAsia" w:cstheme="minorBidi"/>
              <w:sz w:val="28"/>
              <w:szCs w:val="28"/>
              <w:highlight w:val="none"/>
            </w:rPr>
            <w:t>第二章 投标人须知</w:t>
          </w:r>
          <w:r>
            <w:rPr>
              <w:rFonts w:eastAsiaTheme="minorEastAsia" w:cstheme="minorBidi"/>
              <w:sz w:val="28"/>
              <w:szCs w:val="28"/>
              <w:highlight w:val="none"/>
            </w:rPr>
            <w:tab/>
          </w:r>
          <w:r>
            <w:rPr>
              <w:rFonts w:hint="eastAsia" w:eastAsiaTheme="minorEastAsia" w:cstheme="minorBidi"/>
              <w:sz w:val="28"/>
              <w:szCs w:val="28"/>
              <w:highlight w:val="none"/>
            </w:rPr>
            <w:t>5</w:t>
          </w:r>
          <w:r>
            <w:rPr>
              <w:rFonts w:hint="eastAsia" w:eastAsiaTheme="minorEastAsia" w:cstheme="minorBidi"/>
              <w:sz w:val="28"/>
              <w:szCs w:val="28"/>
              <w:highlight w:val="none"/>
            </w:rPr>
            <w:fldChar w:fldCharType="end"/>
          </w:r>
        </w:p>
        <w:p w14:paraId="700C4AE6">
          <w:pPr>
            <w:pStyle w:val="16"/>
            <w:tabs>
              <w:tab w:val="right" w:leader="dot" w:pos="8620"/>
            </w:tabs>
            <w:ind w:right="638" w:rightChars="304"/>
            <w:rPr>
              <w:rFonts w:eastAsiaTheme="minorEastAsia" w:cstheme="minorBidi"/>
              <w:sz w:val="28"/>
              <w:szCs w:val="28"/>
              <w:highlight w:val="none"/>
            </w:rPr>
          </w:pPr>
          <w:r>
            <w:rPr>
              <w:highlight w:val="none"/>
            </w:rPr>
            <w:fldChar w:fldCharType="begin"/>
          </w:r>
          <w:r>
            <w:rPr>
              <w:highlight w:val="none"/>
            </w:rPr>
            <w:instrText xml:space="preserve"> HYPERLINK \l "_Toc13072_WPSOffice_Level1" </w:instrText>
          </w:r>
          <w:r>
            <w:rPr>
              <w:highlight w:val="none"/>
            </w:rPr>
            <w:fldChar w:fldCharType="separate"/>
          </w:r>
          <w:r>
            <w:rPr>
              <w:rFonts w:hint="eastAsia" w:eastAsiaTheme="minorEastAsia" w:cstheme="minorBidi"/>
              <w:sz w:val="28"/>
              <w:szCs w:val="28"/>
              <w:highlight w:val="none"/>
            </w:rPr>
            <w:t>第三章 招标需求</w:t>
          </w:r>
          <w:r>
            <w:rPr>
              <w:rFonts w:eastAsiaTheme="minorEastAsia" w:cstheme="minorBidi"/>
              <w:sz w:val="28"/>
              <w:szCs w:val="28"/>
              <w:highlight w:val="none"/>
            </w:rPr>
            <w:tab/>
          </w:r>
          <w:r>
            <w:rPr>
              <w:rFonts w:hint="eastAsia" w:eastAsiaTheme="minorEastAsia" w:cstheme="minorBidi"/>
              <w:sz w:val="28"/>
              <w:szCs w:val="28"/>
              <w:highlight w:val="none"/>
            </w:rPr>
            <w:t>1</w:t>
          </w:r>
          <w:r>
            <w:rPr>
              <w:rFonts w:hint="eastAsia" w:eastAsiaTheme="minorEastAsia" w:cstheme="minorBidi"/>
              <w:sz w:val="28"/>
              <w:szCs w:val="28"/>
              <w:highlight w:val="none"/>
            </w:rPr>
            <w:fldChar w:fldCharType="end"/>
          </w:r>
          <w:r>
            <w:rPr>
              <w:rFonts w:hint="eastAsia" w:eastAsiaTheme="minorEastAsia" w:cstheme="minorBidi"/>
              <w:sz w:val="28"/>
              <w:szCs w:val="28"/>
              <w:highlight w:val="none"/>
            </w:rPr>
            <w:t>4</w:t>
          </w:r>
        </w:p>
        <w:p w14:paraId="7C234896">
          <w:pPr>
            <w:pStyle w:val="16"/>
            <w:tabs>
              <w:tab w:val="right" w:leader="dot" w:pos="8620"/>
            </w:tabs>
            <w:rPr>
              <w:rFonts w:eastAsiaTheme="minorEastAsia" w:cstheme="minorBidi"/>
              <w:sz w:val="28"/>
              <w:szCs w:val="28"/>
              <w:highlight w:val="none"/>
            </w:rPr>
          </w:pPr>
          <w:r>
            <w:rPr>
              <w:highlight w:val="none"/>
            </w:rPr>
            <w:fldChar w:fldCharType="begin"/>
          </w:r>
          <w:r>
            <w:rPr>
              <w:highlight w:val="none"/>
            </w:rPr>
            <w:instrText xml:space="preserve"> HYPERLINK \l "_Toc31173_WPSOffice_Level1" </w:instrText>
          </w:r>
          <w:r>
            <w:rPr>
              <w:highlight w:val="none"/>
            </w:rPr>
            <w:fldChar w:fldCharType="separate"/>
          </w:r>
          <w:r>
            <w:rPr>
              <w:rFonts w:hint="eastAsia" w:eastAsiaTheme="minorEastAsia" w:cstheme="minorBidi"/>
              <w:sz w:val="28"/>
              <w:szCs w:val="28"/>
              <w:highlight w:val="none"/>
            </w:rPr>
            <w:t>第四章 评标</w:t>
          </w:r>
          <w:r>
            <w:rPr>
              <w:rFonts w:eastAsiaTheme="minorEastAsia" w:cstheme="minorBidi"/>
              <w:sz w:val="28"/>
              <w:szCs w:val="28"/>
              <w:highlight w:val="none"/>
            </w:rPr>
            <w:tab/>
          </w:r>
          <w:bookmarkStart w:id="2" w:name="_Toc31173_WPSOffice_Level1Page"/>
          <w:r>
            <w:rPr>
              <w:rFonts w:eastAsiaTheme="minorEastAsia" w:cstheme="minorBidi"/>
              <w:sz w:val="28"/>
              <w:szCs w:val="28"/>
              <w:highlight w:val="none"/>
            </w:rPr>
            <w:t>22</w:t>
          </w:r>
          <w:bookmarkEnd w:id="2"/>
          <w:r>
            <w:rPr>
              <w:rFonts w:eastAsiaTheme="minorEastAsia" w:cstheme="minorBidi"/>
              <w:sz w:val="28"/>
              <w:szCs w:val="28"/>
              <w:highlight w:val="none"/>
            </w:rPr>
            <w:fldChar w:fldCharType="end"/>
          </w:r>
        </w:p>
        <w:p w14:paraId="0A06A01A">
          <w:pPr>
            <w:pStyle w:val="16"/>
            <w:tabs>
              <w:tab w:val="right" w:leader="dot" w:pos="8620"/>
            </w:tabs>
            <w:rPr>
              <w:rFonts w:eastAsiaTheme="minorEastAsia" w:cstheme="minorBidi"/>
              <w:sz w:val="28"/>
              <w:szCs w:val="28"/>
              <w:highlight w:val="none"/>
            </w:rPr>
          </w:pPr>
          <w:r>
            <w:rPr>
              <w:highlight w:val="none"/>
            </w:rPr>
            <w:fldChar w:fldCharType="begin"/>
          </w:r>
          <w:r>
            <w:rPr>
              <w:highlight w:val="none"/>
            </w:rPr>
            <w:instrText xml:space="preserve"> HYPERLINK \l "_Toc27944_WPSOffice_Level1" </w:instrText>
          </w:r>
          <w:r>
            <w:rPr>
              <w:highlight w:val="none"/>
            </w:rPr>
            <w:fldChar w:fldCharType="separate"/>
          </w:r>
          <w:r>
            <w:rPr>
              <w:rFonts w:hint="eastAsia" w:eastAsiaTheme="minorEastAsia" w:cstheme="minorBidi"/>
              <w:sz w:val="28"/>
              <w:szCs w:val="28"/>
              <w:highlight w:val="none"/>
            </w:rPr>
            <w:t>第五章 拟签订的合同文本</w:t>
          </w:r>
          <w:r>
            <w:rPr>
              <w:rFonts w:eastAsiaTheme="minorEastAsia" w:cstheme="minorBidi"/>
              <w:sz w:val="28"/>
              <w:szCs w:val="28"/>
              <w:highlight w:val="none"/>
            </w:rPr>
            <w:tab/>
          </w:r>
          <w:bookmarkStart w:id="3" w:name="_Toc27944_WPSOffice_Level1Page"/>
          <w:r>
            <w:rPr>
              <w:rFonts w:eastAsiaTheme="minorEastAsia" w:cstheme="minorBidi"/>
              <w:sz w:val="28"/>
              <w:szCs w:val="28"/>
              <w:highlight w:val="none"/>
            </w:rPr>
            <w:t>3</w:t>
          </w:r>
          <w:bookmarkEnd w:id="3"/>
          <w:r>
            <w:rPr>
              <w:rFonts w:hint="eastAsia" w:eastAsiaTheme="minorEastAsia" w:cstheme="minorBidi"/>
              <w:sz w:val="28"/>
              <w:szCs w:val="28"/>
              <w:highlight w:val="none"/>
            </w:rPr>
            <w:t>0</w:t>
          </w:r>
          <w:r>
            <w:rPr>
              <w:rFonts w:hint="eastAsia" w:eastAsiaTheme="minorEastAsia" w:cstheme="minorBidi"/>
              <w:sz w:val="28"/>
              <w:szCs w:val="28"/>
              <w:highlight w:val="none"/>
            </w:rPr>
            <w:fldChar w:fldCharType="end"/>
          </w:r>
        </w:p>
        <w:p w14:paraId="36B85A60">
          <w:pPr>
            <w:pStyle w:val="16"/>
            <w:tabs>
              <w:tab w:val="right" w:leader="dot" w:pos="8620"/>
            </w:tabs>
            <w:rPr>
              <w:highlight w:val="none"/>
            </w:rPr>
          </w:pPr>
          <w:r>
            <w:rPr>
              <w:highlight w:val="none"/>
            </w:rPr>
            <w:fldChar w:fldCharType="begin"/>
          </w:r>
          <w:r>
            <w:rPr>
              <w:highlight w:val="none"/>
            </w:rPr>
            <w:instrText xml:space="preserve"> HYPERLINK \l "_Toc5481_WPSOffice_Level1" </w:instrText>
          </w:r>
          <w:r>
            <w:rPr>
              <w:highlight w:val="none"/>
            </w:rPr>
            <w:fldChar w:fldCharType="separate"/>
          </w:r>
          <w:r>
            <w:rPr>
              <w:rFonts w:hint="eastAsia" w:eastAsiaTheme="minorEastAsia" w:cstheme="minorBidi"/>
              <w:sz w:val="28"/>
              <w:szCs w:val="28"/>
              <w:highlight w:val="none"/>
            </w:rPr>
            <w:t>第六章 投标文件格式</w:t>
          </w:r>
          <w:r>
            <w:rPr>
              <w:rFonts w:eastAsiaTheme="minorEastAsia" w:cstheme="minorBidi"/>
              <w:sz w:val="28"/>
              <w:szCs w:val="28"/>
              <w:highlight w:val="none"/>
            </w:rPr>
            <w:tab/>
          </w:r>
          <w:r>
            <w:rPr>
              <w:rFonts w:hint="eastAsia" w:eastAsiaTheme="minorEastAsia" w:cstheme="minorBidi"/>
              <w:sz w:val="28"/>
              <w:szCs w:val="28"/>
              <w:highlight w:val="none"/>
            </w:rPr>
            <w:t>3</w:t>
          </w:r>
          <w:r>
            <w:rPr>
              <w:rFonts w:hint="eastAsia" w:eastAsiaTheme="minorEastAsia" w:cstheme="minorBidi"/>
              <w:sz w:val="28"/>
              <w:szCs w:val="28"/>
              <w:highlight w:val="none"/>
            </w:rPr>
            <w:fldChar w:fldCharType="end"/>
          </w:r>
          <w:r>
            <w:rPr>
              <w:rFonts w:hint="eastAsia" w:eastAsiaTheme="minorEastAsia" w:cstheme="minorBidi"/>
              <w:sz w:val="28"/>
              <w:szCs w:val="28"/>
              <w:highlight w:val="none"/>
            </w:rPr>
            <w:t>6</w:t>
          </w:r>
        </w:p>
      </w:sdtContent>
    </w:sdt>
    <w:bookmarkEnd w:id="0"/>
    <w:p w14:paraId="20E2B80C">
      <w:pPr>
        <w:spacing w:line="360" w:lineRule="auto"/>
        <w:rPr>
          <w:sz w:val="28"/>
          <w:szCs w:val="28"/>
          <w:highlight w:val="none"/>
        </w:rPr>
      </w:pPr>
    </w:p>
    <w:p w14:paraId="5D512787">
      <w:pPr>
        <w:spacing w:line="360" w:lineRule="auto"/>
        <w:rPr>
          <w:highlight w:val="none"/>
        </w:rPr>
      </w:pPr>
    </w:p>
    <w:p w14:paraId="74E490D3">
      <w:pPr>
        <w:spacing w:line="360" w:lineRule="auto"/>
        <w:rPr>
          <w:highlight w:val="none"/>
        </w:rPr>
      </w:pPr>
    </w:p>
    <w:p w14:paraId="7DCD7472">
      <w:pPr>
        <w:spacing w:line="360" w:lineRule="auto"/>
        <w:rPr>
          <w:highlight w:val="none"/>
        </w:rPr>
      </w:pPr>
    </w:p>
    <w:p w14:paraId="15836E00">
      <w:pPr>
        <w:spacing w:line="360" w:lineRule="auto"/>
        <w:rPr>
          <w:highlight w:val="none"/>
        </w:rPr>
      </w:pPr>
    </w:p>
    <w:p w14:paraId="21BE69B1">
      <w:pPr>
        <w:spacing w:line="360" w:lineRule="auto"/>
        <w:rPr>
          <w:highlight w:val="none"/>
        </w:rPr>
      </w:pPr>
    </w:p>
    <w:p w14:paraId="1934828E">
      <w:pPr>
        <w:spacing w:line="360" w:lineRule="auto"/>
        <w:rPr>
          <w:highlight w:val="none"/>
        </w:rPr>
      </w:pPr>
    </w:p>
    <w:p w14:paraId="386E3D28">
      <w:pPr>
        <w:spacing w:line="360" w:lineRule="auto"/>
        <w:rPr>
          <w:highlight w:val="none"/>
        </w:rPr>
      </w:pPr>
    </w:p>
    <w:p w14:paraId="2083EE0F">
      <w:pPr>
        <w:spacing w:line="360" w:lineRule="auto"/>
        <w:rPr>
          <w:highlight w:val="none"/>
        </w:rPr>
      </w:pPr>
    </w:p>
    <w:p w14:paraId="36CFDD34">
      <w:pPr>
        <w:spacing w:line="360" w:lineRule="auto"/>
        <w:rPr>
          <w:highlight w:val="none"/>
        </w:rPr>
      </w:pPr>
    </w:p>
    <w:p w14:paraId="699BF753">
      <w:pPr>
        <w:spacing w:line="360" w:lineRule="auto"/>
        <w:rPr>
          <w:highlight w:val="none"/>
        </w:rPr>
      </w:pPr>
    </w:p>
    <w:p w14:paraId="6DB1F504">
      <w:pPr>
        <w:spacing w:line="360" w:lineRule="auto"/>
        <w:rPr>
          <w:highlight w:val="none"/>
        </w:rPr>
      </w:pPr>
    </w:p>
    <w:p w14:paraId="6EB2A376">
      <w:pPr>
        <w:spacing w:line="360" w:lineRule="auto"/>
        <w:rPr>
          <w:highlight w:val="none"/>
        </w:rPr>
      </w:pPr>
    </w:p>
    <w:p w14:paraId="43138F8E">
      <w:pPr>
        <w:spacing w:line="360" w:lineRule="auto"/>
        <w:rPr>
          <w:highlight w:val="none"/>
        </w:rPr>
      </w:pPr>
    </w:p>
    <w:p w14:paraId="5394DCA3">
      <w:pPr>
        <w:spacing w:line="360" w:lineRule="auto"/>
        <w:rPr>
          <w:highlight w:val="none"/>
        </w:rPr>
      </w:pPr>
    </w:p>
    <w:p w14:paraId="3C729EDC">
      <w:pPr>
        <w:spacing w:line="360" w:lineRule="auto"/>
        <w:rPr>
          <w:rFonts w:asciiTheme="majorEastAsia" w:hAnsiTheme="majorEastAsia" w:eastAsiaTheme="majorEastAsia"/>
          <w:b/>
          <w:sz w:val="36"/>
          <w:szCs w:val="36"/>
          <w:highlight w:val="none"/>
        </w:rPr>
      </w:pPr>
      <w:r>
        <w:rPr>
          <w:rFonts w:hint="eastAsia" w:asciiTheme="majorEastAsia" w:hAnsiTheme="majorEastAsia" w:eastAsiaTheme="majorEastAsia"/>
          <w:b/>
          <w:kern w:val="0"/>
          <w:sz w:val="36"/>
          <w:szCs w:val="36"/>
          <w:highlight w:val="none"/>
        </w:rPr>
        <w:br w:type="page"/>
      </w:r>
    </w:p>
    <w:p w14:paraId="5257E58D">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highlight w:val="none"/>
        </w:rPr>
      </w:pPr>
      <w:bookmarkStart w:id="4" w:name="_Toc4350_WPSOffice_Level1"/>
      <w:r>
        <w:rPr>
          <w:rFonts w:hint="eastAsia" w:ascii="宋体" w:hAnsi="宋体" w:cs="宋体"/>
          <w:b/>
          <w:kern w:val="0"/>
          <w:sz w:val="36"/>
          <w:szCs w:val="36"/>
          <w:highlight w:val="none"/>
        </w:rPr>
        <w:t>投标邀请</w:t>
      </w:r>
      <w:bookmarkEnd w:id="4"/>
    </w:p>
    <w:p w14:paraId="6C3C36EF">
      <w:pPr>
        <w:pStyle w:val="3"/>
        <w:ind w:firstLine="480" w:firstLineChars="200"/>
        <w:rPr>
          <w:rFonts w:cs="宋体"/>
          <w:b w:val="0"/>
          <w:sz w:val="24"/>
          <w:szCs w:val="24"/>
          <w:highlight w:val="none"/>
        </w:rPr>
      </w:pPr>
      <w:bookmarkStart w:id="5" w:name="_Toc35393621"/>
      <w:bookmarkStart w:id="6" w:name="_Toc28359002"/>
      <w:bookmarkStart w:id="7" w:name="_Toc28359079"/>
      <w:bookmarkStart w:id="8" w:name="_Toc35393790"/>
      <w:bookmarkStart w:id="9" w:name="_Hlk24379207"/>
      <w:r>
        <w:rPr>
          <w:rFonts w:hint="eastAsia" w:cs="宋体"/>
          <w:b w:val="0"/>
          <w:sz w:val="24"/>
          <w:szCs w:val="24"/>
          <w:highlight w:val="none"/>
          <w:u w:val="single"/>
        </w:rPr>
        <w:t>台州市建设咨询有限公司</w:t>
      </w:r>
      <w:r>
        <w:rPr>
          <w:rFonts w:hint="eastAsia" w:cs="宋体"/>
          <w:b w:val="0"/>
          <w:sz w:val="24"/>
          <w:szCs w:val="24"/>
          <w:highlight w:val="none"/>
        </w:rPr>
        <w:t>受</w:t>
      </w:r>
      <w:r>
        <w:rPr>
          <w:rFonts w:hint="eastAsia" w:cs="宋体"/>
          <w:b w:val="0"/>
          <w:sz w:val="24"/>
          <w:szCs w:val="24"/>
          <w:highlight w:val="none"/>
          <w:u w:val="single"/>
        </w:rPr>
        <w:t>浙江金豹运业有限公司</w:t>
      </w:r>
      <w:r>
        <w:rPr>
          <w:rFonts w:hint="eastAsia" w:cs="宋体"/>
          <w:b w:val="0"/>
          <w:sz w:val="24"/>
          <w:szCs w:val="24"/>
          <w:highlight w:val="none"/>
        </w:rPr>
        <w:t>委托，就</w:t>
      </w:r>
      <w:r>
        <w:rPr>
          <w:rFonts w:hint="eastAsia" w:cs="宋体"/>
          <w:b w:val="0"/>
          <w:sz w:val="24"/>
          <w:szCs w:val="24"/>
          <w:highlight w:val="none"/>
          <w:u w:val="single"/>
        </w:rPr>
        <w:t>浙江金豹运业有限公司车辆保险采购</w:t>
      </w:r>
      <w:r>
        <w:rPr>
          <w:rFonts w:hint="eastAsia" w:cs="宋体"/>
          <w:b w:val="0"/>
          <w:sz w:val="24"/>
          <w:szCs w:val="24"/>
          <w:highlight w:val="none"/>
        </w:rPr>
        <w:t>进行公开招标，欢迎符合资格条件的国内投标人参加投标。</w:t>
      </w:r>
    </w:p>
    <w:p w14:paraId="060B06FC">
      <w:pPr>
        <w:pStyle w:val="3"/>
        <w:ind w:firstLine="482" w:firstLineChars="200"/>
        <w:rPr>
          <w:rFonts w:cs="宋体"/>
          <w:bCs/>
          <w:sz w:val="24"/>
          <w:szCs w:val="24"/>
          <w:highlight w:val="none"/>
        </w:rPr>
      </w:pPr>
      <w:r>
        <w:rPr>
          <w:rFonts w:hint="eastAsia" w:cs="宋体"/>
          <w:bCs/>
          <w:sz w:val="24"/>
          <w:szCs w:val="24"/>
          <w:highlight w:val="none"/>
        </w:rPr>
        <w:t>一、项目基本情况</w:t>
      </w:r>
      <w:bookmarkEnd w:id="5"/>
      <w:bookmarkEnd w:id="6"/>
      <w:bookmarkEnd w:id="7"/>
      <w:bookmarkEnd w:id="8"/>
    </w:p>
    <w:p w14:paraId="386B276E">
      <w:pPr>
        <w:spacing w:line="360" w:lineRule="auto"/>
        <w:ind w:firstLine="480" w:firstLineChars="200"/>
        <w:rPr>
          <w:rFonts w:ascii="宋体" w:hAnsi="宋体" w:cs="宋体"/>
          <w:sz w:val="24"/>
          <w:highlight w:val="none"/>
        </w:rPr>
      </w:pPr>
      <w:r>
        <w:rPr>
          <w:rFonts w:hint="eastAsia" w:ascii="宋体" w:hAnsi="宋体" w:cs="宋体"/>
          <w:sz w:val="24"/>
          <w:highlight w:val="none"/>
        </w:rPr>
        <w:t>项目编号：TZCCC-【2025】-1013号</w:t>
      </w:r>
    </w:p>
    <w:bookmarkEnd w:id="9"/>
    <w:p w14:paraId="314E48DD">
      <w:pPr>
        <w:spacing w:line="360" w:lineRule="auto"/>
        <w:ind w:firstLine="480" w:firstLineChars="200"/>
        <w:rPr>
          <w:highlight w:val="none"/>
        </w:rPr>
      </w:pPr>
      <w:r>
        <w:rPr>
          <w:rFonts w:hint="eastAsia" w:ascii="宋体" w:hAnsi="宋体" w:cs="宋体"/>
          <w:sz w:val="24"/>
          <w:highlight w:val="none"/>
        </w:rPr>
        <w:t>项目名称：浙江金豹运业有限公司车辆保险采购</w:t>
      </w:r>
    </w:p>
    <w:tbl>
      <w:tblPr>
        <w:tblStyle w:val="24"/>
        <w:tblpPr w:leftFromText="181" w:rightFromText="181" w:bottomFromText="170" w:vertAnchor="text" w:tblpXSpec="center" w:tblpY="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141"/>
        <w:gridCol w:w="709"/>
        <w:gridCol w:w="738"/>
        <w:gridCol w:w="996"/>
        <w:gridCol w:w="1517"/>
        <w:gridCol w:w="1830"/>
      </w:tblGrid>
      <w:tr w14:paraId="217F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45" w:type="pct"/>
            <w:vAlign w:val="center"/>
          </w:tcPr>
          <w:p w14:paraId="6100238F">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标项号</w:t>
            </w:r>
          </w:p>
        </w:tc>
        <w:tc>
          <w:tcPr>
            <w:tcW w:w="1256" w:type="pct"/>
            <w:vAlign w:val="center"/>
          </w:tcPr>
          <w:p w14:paraId="4F23DAD6">
            <w:pPr>
              <w:tabs>
                <w:tab w:val="left" w:pos="8280"/>
              </w:tabs>
              <w:autoSpaceDE w:val="0"/>
              <w:autoSpaceDN w:val="0"/>
              <w:adjustRightInd w:val="0"/>
              <w:spacing w:line="360" w:lineRule="auto"/>
              <w:ind w:firstLine="105" w:firstLineChars="50"/>
              <w:jc w:val="center"/>
              <w:rPr>
                <w:rFonts w:ascii="宋体" w:hAnsi="宋体" w:cs="宋体"/>
                <w:b/>
                <w:szCs w:val="21"/>
                <w:highlight w:val="none"/>
              </w:rPr>
            </w:pPr>
            <w:r>
              <w:rPr>
                <w:rFonts w:hint="eastAsia" w:ascii="宋体" w:hAnsi="宋体" w:cs="宋体"/>
                <w:b/>
                <w:szCs w:val="21"/>
                <w:highlight w:val="none"/>
              </w:rPr>
              <w:t>标项名称</w:t>
            </w:r>
          </w:p>
        </w:tc>
        <w:tc>
          <w:tcPr>
            <w:tcW w:w="416" w:type="pct"/>
            <w:vAlign w:val="center"/>
          </w:tcPr>
          <w:p w14:paraId="032A6378">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kern w:val="0"/>
                <w:szCs w:val="21"/>
                <w:highlight w:val="none"/>
              </w:rPr>
              <w:t>数量</w:t>
            </w:r>
          </w:p>
        </w:tc>
        <w:tc>
          <w:tcPr>
            <w:tcW w:w="433" w:type="pct"/>
            <w:vAlign w:val="center"/>
          </w:tcPr>
          <w:p w14:paraId="71FFFD95">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单位</w:t>
            </w:r>
          </w:p>
        </w:tc>
        <w:tc>
          <w:tcPr>
            <w:tcW w:w="584" w:type="pct"/>
            <w:vAlign w:val="center"/>
          </w:tcPr>
          <w:p w14:paraId="53F46961">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预算</w:t>
            </w:r>
          </w:p>
          <w:p w14:paraId="455CEAB7">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（万元）</w:t>
            </w:r>
          </w:p>
        </w:tc>
        <w:tc>
          <w:tcPr>
            <w:tcW w:w="890" w:type="pct"/>
            <w:vAlign w:val="center"/>
          </w:tcPr>
          <w:p w14:paraId="5CD6942B">
            <w:pPr>
              <w:spacing w:line="360" w:lineRule="auto"/>
              <w:jc w:val="center"/>
              <w:rPr>
                <w:rFonts w:ascii="宋体" w:hAnsi="宋体" w:cs="宋体"/>
                <w:b/>
                <w:szCs w:val="21"/>
                <w:highlight w:val="none"/>
              </w:rPr>
            </w:pPr>
            <w:r>
              <w:rPr>
                <w:rFonts w:hint="eastAsia" w:ascii="宋体" w:hAnsi="宋体" w:cs="宋体"/>
                <w:b/>
                <w:szCs w:val="21"/>
                <w:highlight w:val="none"/>
              </w:rPr>
              <w:t>最高限价</w:t>
            </w:r>
          </w:p>
        </w:tc>
        <w:tc>
          <w:tcPr>
            <w:tcW w:w="1073" w:type="pct"/>
            <w:vAlign w:val="center"/>
          </w:tcPr>
          <w:p w14:paraId="764BEEE2">
            <w:pPr>
              <w:spacing w:line="360" w:lineRule="auto"/>
              <w:jc w:val="center"/>
              <w:rPr>
                <w:rFonts w:ascii="宋体" w:hAnsi="宋体" w:cs="宋体"/>
                <w:b/>
                <w:szCs w:val="21"/>
                <w:highlight w:val="none"/>
              </w:rPr>
            </w:pPr>
            <w:r>
              <w:rPr>
                <w:rFonts w:hint="eastAsia" w:ascii="宋体" w:hAnsi="宋体" w:cs="宋体"/>
                <w:b/>
                <w:szCs w:val="21"/>
                <w:highlight w:val="none"/>
              </w:rPr>
              <w:t>服务期限</w:t>
            </w:r>
          </w:p>
        </w:tc>
      </w:tr>
      <w:tr w14:paraId="3222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45" w:type="pct"/>
            <w:vAlign w:val="center"/>
          </w:tcPr>
          <w:p w14:paraId="627E86CC">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1</w:t>
            </w:r>
          </w:p>
        </w:tc>
        <w:tc>
          <w:tcPr>
            <w:tcW w:w="1256" w:type="pct"/>
            <w:vAlign w:val="center"/>
          </w:tcPr>
          <w:p w14:paraId="0BC38843">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浙江金豹运业有限公司车辆保险采购</w:t>
            </w:r>
          </w:p>
        </w:tc>
        <w:tc>
          <w:tcPr>
            <w:tcW w:w="416" w:type="pct"/>
            <w:vAlign w:val="center"/>
          </w:tcPr>
          <w:p w14:paraId="535387F4">
            <w:pPr>
              <w:tabs>
                <w:tab w:val="left" w:pos="8280"/>
              </w:tabs>
              <w:autoSpaceDE w:val="0"/>
              <w:autoSpaceDN w:val="0"/>
              <w:adjustRightInd w:val="0"/>
              <w:spacing w:line="360" w:lineRule="auto"/>
              <w:jc w:val="center"/>
              <w:rPr>
                <w:rFonts w:ascii="宋体" w:hAnsi="宋体" w:cs="宋体"/>
                <w:bCs/>
                <w:szCs w:val="21"/>
                <w:highlight w:val="none"/>
              </w:rPr>
            </w:pPr>
            <w:r>
              <w:rPr>
                <w:rFonts w:hint="eastAsia" w:ascii="宋体" w:hAnsi="宋体" w:cs="宋体"/>
                <w:bCs/>
                <w:szCs w:val="21"/>
                <w:highlight w:val="none"/>
              </w:rPr>
              <w:t>1</w:t>
            </w:r>
          </w:p>
        </w:tc>
        <w:tc>
          <w:tcPr>
            <w:tcW w:w="433" w:type="pct"/>
            <w:vAlign w:val="center"/>
          </w:tcPr>
          <w:p w14:paraId="5588DC6A">
            <w:pPr>
              <w:tabs>
                <w:tab w:val="left" w:pos="8280"/>
              </w:tabs>
              <w:autoSpaceDE w:val="0"/>
              <w:autoSpaceDN w:val="0"/>
              <w:adjustRightInd w:val="0"/>
              <w:spacing w:line="360" w:lineRule="auto"/>
              <w:jc w:val="center"/>
              <w:rPr>
                <w:rFonts w:ascii="宋体" w:hAnsi="宋体" w:cs="宋体"/>
                <w:bCs/>
                <w:szCs w:val="21"/>
                <w:highlight w:val="none"/>
              </w:rPr>
            </w:pPr>
            <w:r>
              <w:rPr>
                <w:rFonts w:hint="eastAsia" w:ascii="宋体" w:hAnsi="宋体" w:cs="宋体"/>
                <w:bCs/>
                <w:szCs w:val="21"/>
                <w:highlight w:val="none"/>
              </w:rPr>
              <w:t>项</w:t>
            </w:r>
          </w:p>
        </w:tc>
        <w:tc>
          <w:tcPr>
            <w:tcW w:w="584" w:type="pct"/>
            <w:vAlign w:val="center"/>
          </w:tcPr>
          <w:p w14:paraId="73E42C80">
            <w:pPr>
              <w:tabs>
                <w:tab w:val="left" w:pos="8280"/>
              </w:tabs>
              <w:autoSpaceDE w:val="0"/>
              <w:autoSpaceDN w:val="0"/>
              <w:adjustRightInd w:val="0"/>
              <w:spacing w:line="360" w:lineRule="auto"/>
              <w:jc w:val="center"/>
              <w:rPr>
                <w:rFonts w:hint="default" w:ascii="宋体" w:hAnsi="宋体" w:cs="宋体"/>
                <w:bCs/>
                <w:szCs w:val="21"/>
                <w:highlight w:val="none"/>
                <w:lang w:val="en-US"/>
              </w:rPr>
            </w:pPr>
            <w:r>
              <w:rPr>
                <w:rFonts w:hint="default" w:ascii="宋体" w:hAnsi="宋体" w:cs="宋体"/>
                <w:bCs/>
                <w:szCs w:val="21"/>
                <w:highlight w:val="none"/>
                <w:lang w:val="en-US"/>
              </w:rPr>
              <w:t>45</w:t>
            </w:r>
          </w:p>
        </w:tc>
        <w:tc>
          <w:tcPr>
            <w:tcW w:w="890" w:type="pct"/>
            <w:vAlign w:val="center"/>
          </w:tcPr>
          <w:p w14:paraId="3A40BE94">
            <w:pPr>
              <w:tabs>
                <w:tab w:val="left" w:pos="8280"/>
              </w:tabs>
              <w:autoSpaceDE w:val="0"/>
              <w:autoSpaceDN w:val="0"/>
              <w:adjustRightInd w:val="0"/>
              <w:spacing w:line="360" w:lineRule="auto"/>
              <w:jc w:val="center"/>
              <w:rPr>
                <w:rFonts w:ascii="宋体" w:hAnsi="宋体" w:cs="宋体"/>
                <w:b/>
                <w:szCs w:val="21"/>
                <w:highlight w:val="none"/>
              </w:rPr>
            </w:pPr>
            <w:bookmarkStart w:id="10" w:name="OLE_LINK29"/>
            <w:bookmarkStart w:id="11" w:name="OLE_LINK28"/>
            <w:r>
              <w:rPr>
                <w:rFonts w:hint="eastAsia" w:ascii="宋体" w:hAnsi="宋体" w:cs="宋体"/>
                <w:sz w:val="24"/>
                <w:highlight w:val="none"/>
              </w:rPr>
              <w:t>车险自主定价系数最高限价为0.8</w:t>
            </w:r>
            <w:bookmarkEnd w:id="10"/>
            <w:bookmarkEnd w:id="11"/>
          </w:p>
        </w:tc>
        <w:tc>
          <w:tcPr>
            <w:tcW w:w="1073" w:type="pct"/>
            <w:vAlign w:val="center"/>
          </w:tcPr>
          <w:p w14:paraId="299BF968">
            <w:pPr>
              <w:tabs>
                <w:tab w:val="left" w:pos="8280"/>
              </w:tabs>
              <w:autoSpaceDE w:val="0"/>
              <w:autoSpaceDN w:val="0"/>
              <w:adjustRightInd w:val="0"/>
              <w:spacing w:line="360" w:lineRule="auto"/>
              <w:jc w:val="center"/>
              <w:rPr>
                <w:rFonts w:ascii="宋体" w:hAnsi="宋体" w:cs="宋体"/>
                <w:bCs/>
                <w:szCs w:val="21"/>
                <w:highlight w:val="none"/>
              </w:rPr>
            </w:pPr>
            <w:r>
              <w:rPr>
                <w:rFonts w:hint="eastAsia" w:ascii="宋体" w:hAnsi="宋体" w:cs="宋体"/>
                <w:sz w:val="24"/>
                <w:highlight w:val="none"/>
              </w:rPr>
              <w:t>3年，自本项目合同签订生效之日起12个月满且本项目合同遗留保险理赔案件处理完成为止。（合同1年1签）</w:t>
            </w:r>
          </w:p>
        </w:tc>
      </w:tr>
    </w:tbl>
    <w:p w14:paraId="3206FD19">
      <w:pPr>
        <w:pStyle w:val="3"/>
        <w:tabs>
          <w:tab w:val="left" w:pos="9660"/>
          <w:tab w:val="clear" w:pos="8280"/>
        </w:tabs>
        <w:ind w:right="23" w:firstLine="482" w:firstLineChars="200"/>
        <w:jc w:val="left"/>
        <w:rPr>
          <w:rFonts w:cs="宋体"/>
          <w:bCs/>
          <w:sz w:val="24"/>
          <w:szCs w:val="24"/>
          <w:highlight w:val="none"/>
        </w:rPr>
      </w:pPr>
      <w:bookmarkStart w:id="12" w:name="_Toc35393622"/>
      <w:bookmarkStart w:id="13" w:name="_Toc35393791"/>
      <w:bookmarkStart w:id="14" w:name="_Toc28359080"/>
      <w:bookmarkStart w:id="15" w:name="_Toc28359003"/>
      <w:r>
        <w:rPr>
          <w:rFonts w:hint="eastAsia" w:cs="宋体"/>
          <w:bCs/>
          <w:sz w:val="24"/>
          <w:szCs w:val="24"/>
          <w:highlight w:val="none"/>
        </w:rPr>
        <w:t>二、投标人的资格要求</w:t>
      </w:r>
      <w:bookmarkEnd w:id="12"/>
      <w:bookmarkEnd w:id="13"/>
      <w:bookmarkEnd w:id="14"/>
      <w:bookmarkEnd w:id="15"/>
    </w:p>
    <w:p w14:paraId="6F30CE3D">
      <w:pPr>
        <w:spacing w:line="360" w:lineRule="auto"/>
        <w:ind w:left="12" w:firstLine="480" w:firstLineChars="200"/>
        <w:jc w:val="left"/>
        <w:rPr>
          <w:rFonts w:ascii="宋体" w:hAnsi="宋体" w:cs="宋体"/>
          <w:sz w:val="24"/>
          <w:highlight w:val="none"/>
        </w:rPr>
      </w:pPr>
      <w:bookmarkStart w:id="16" w:name="_Toc35393623"/>
      <w:bookmarkStart w:id="17" w:name="_Toc35393792"/>
      <w:bookmarkStart w:id="18" w:name="_Toc28359004"/>
      <w:bookmarkStart w:id="19" w:name="_Toc28359081"/>
      <w:r>
        <w:rPr>
          <w:rFonts w:hint="eastAsia" w:ascii="宋体" w:hAnsi="宋体" w:cs="宋体"/>
          <w:sz w:val="24"/>
          <w:highlight w:val="none"/>
        </w:rPr>
        <w:t>（一）满足《中华人民共和国政府采购法》第二十二条规定。</w:t>
      </w:r>
    </w:p>
    <w:p w14:paraId="7215F5C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（二）本项目的特定资格要求：</w:t>
      </w:r>
    </w:p>
    <w:p w14:paraId="706395F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1、投标人应是在中华人民共和国境内注册的、经国家保险监督管理机构批准设立的企业法人或下属公司（总公司或下属公司中仅允许一家参与本项目投标。</w:t>
      </w:r>
    </w:p>
    <w:p w14:paraId="40C1482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2、投标人须经国家保险监督管理机构批准设立且持有《保险许可证》或《经营保险业务许可证》的全国性保险公司或其分支机构。</w:t>
      </w:r>
    </w:p>
    <w:p w14:paraId="755CAA2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（三）本项目</w:t>
      </w:r>
      <w:r>
        <w:rPr>
          <w:rFonts w:hint="eastAsia" w:ascii="宋体" w:hAnsi="宋体" w:cs="宋体"/>
          <w:b/>
          <w:bCs/>
          <w:sz w:val="24"/>
          <w:highlight w:val="none"/>
        </w:rPr>
        <w:t>不接受</w:t>
      </w:r>
      <w:r>
        <w:rPr>
          <w:rFonts w:hint="eastAsia" w:ascii="宋体" w:hAnsi="宋体" w:cs="宋体"/>
          <w:sz w:val="24"/>
          <w:highlight w:val="none"/>
        </w:rPr>
        <w:t>联合体投标。</w:t>
      </w:r>
    </w:p>
    <w:p w14:paraId="41FDD02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（四）信用记录：未被列入“信用中国”失信被执行人或重大税收违法案件当事人名单；未处于“中国政府采购网”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hint="eastAsia" w:ascii="宋体" w:hAnsi="宋体" w:cs="宋体"/>
          <w:sz w:val="24"/>
          <w:highlight w:val="none"/>
        </w:rPr>
        <w:fldChar w:fldCharType="end"/>
      </w:r>
    </w:p>
    <w:p w14:paraId="79FB4DB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（五）法律、行政法规规定的其他条件：机构负责人为同一人或者存在直接控股、管理关系的不同供应商，不得同时参加同一项目投标；</w:t>
      </w:r>
    </w:p>
    <w:p w14:paraId="7561BD4C">
      <w:pPr>
        <w:pStyle w:val="3"/>
        <w:tabs>
          <w:tab w:val="left" w:pos="9660"/>
          <w:tab w:val="clear" w:pos="8280"/>
        </w:tabs>
        <w:ind w:right="23" w:firstLine="482" w:firstLineChars="200"/>
        <w:jc w:val="left"/>
        <w:rPr>
          <w:rFonts w:cs="宋体"/>
          <w:bCs/>
          <w:sz w:val="24"/>
          <w:szCs w:val="24"/>
          <w:highlight w:val="none"/>
        </w:rPr>
      </w:pPr>
      <w:r>
        <w:rPr>
          <w:rFonts w:hint="eastAsia" w:cs="宋体"/>
          <w:bCs/>
          <w:sz w:val="24"/>
          <w:szCs w:val="24"/>
          <w:highlight w:val="none"/>
        </w:rPr>
        <w:t>三、获取招标文件</w:t>
      </w:r>
      <w:bookmarkEnd w:id="16"/>
      <w:bookmarkEnd w:id="17"/>
      <w:bookmarkEnd w:id="18"/>
      <w:bookmarkEnd w:id="19"/>
      <w:bookmarkStart w:id="88" w:name="_GoBack"/>
      <w:bookmarkEnd w:id="88"/>
    </w:p>
    <w:p w14:paraId="26476DA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（一）时间：</w:t>
      </w:r>
      <w:r>
        <w:rPr>
          <w:rFonts w:hint="eastAsia" w:ascii="宋体" w:hAnsi="宋体" w:cs="宋体"/>
          <w:sz w:val="24"/>
          <w:highlight w:val="none"/>
          <w:u w:val="single"/>
        </w:rPr>
        <w:t>采购公告发布之日起</w:t>
      </w:r>
      <w:r>
        <w:rPr>
          <w:rFonts w:hint="eastAsia" w:ascii="宋体" w:hAnsi="宋体" w:cs="宋体"/>
          <w:sz w:val="24"/>
          <w:highlight w:val="none"/>
        </w:rPr>
        <w:t>至</w:t>
      </w:r>
      <w:r>
        <w:rPr>
          <w:rFonts w:hint="eastAsia" w:ascii="宋体" w:hAnsi="宋体" w:cs="宋体"/>
          <w:sz w:val="24"/>
          <w:highlight w:val="none"/>
          <w:u w:val="single"/>
        </w:rPr>
        <w:t>提交投标文件截止时间</w:t>
      </w:r>
    </w:p>
    <w:p w14:paraId="361A31C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（二）方式：台州市智慧招采云平台（https://tz.etrading.cn/）下载</w:t>
      </w:r>
    </w:p>
    <w:p w14:paraId="659012B4">
      <w:pPr>
        <w:pStyle w:val="3"/>
        <w:ind w:right="0" w:firstLine="482" w:firstLineChars="200"/>
        <w:rPr>
          <w:rFonts w:cs="宋体"/>
          <w:bCs/>
          <w:sz w:val="24"/>
          <w:szCs w:val="24"/>
          <w:highlight w:val="none"/>
        </w:rPr>
      </w:pPr>
      <w:bookmarkStart w:id="20" w:name="_Toc28359005"/>
      <w:bookmarkStart w:id="21" w:name="_Toc28359082"/>
      <w:bookmarkStart w:id="22" w:name="_Toc35393624"/>
      <w:bookmarkStart w:id="23" w:name="_Toc35393793"/>
      <w:r>
        <w:rPr>
          <w:rFonts w:hint="eastAsia" w:cs="宋体"/>
          <w:bCs/>
          <w:sz w:val="24"/>
          <w:szCs w:val="24"/>
          <w:highlight w:val="none"/>
        </w:rPr>
        <w:t>四、提交投标文件</w:t>
      </w:r>
      <w:bookmarkEnd w:id="20"/>
      <w:bookmarkEnd w:id="21"/>
      <w:bookmarkEnd w:id="22"/>
      <w:bookmarkEnd w:id="23"/>
    </w:p>
    <w:p w14:paraId="214CD82C">
      <w:pPr>
        <w:spacing w:line="360" w:lineRule="auto"/>
        <w:ind w:firstLine="480" w:firstLineChars="200"/>
        <w:jc w:val="left"/>
        <w:rPr>
          <w:rFonts w:ascii="宋体" w:hAnsi="宋体" w:cs="宋体"/>
          <w:sz w:val="24"/>
          <w:highlight w:val="none"/>
        </w:rPr>
      </w:pPr>
      <w:bookmarkStart w:id="24" w:name="_Toc28359084"/>
      <w:bookmarkStart w:id="25" w:name="_Toc35393794"/>
      <w:bookmarkStart w:id="26" w:name="_Toc35393625"/>
      <w:bookmarkStart w:id="27" w:name="_Toc28359007"/>
      <w:r>
        <w:rPr>
          <w:rFonts w:hint="eastAsia" w:ascii="宋体" w:hAnsi="宋体" w:cs="宋体"/>
          <w:sz w:val="24"/>
          <w:highlight w:val="none"/>
        </w:rPr>
        <w:t>（一）截止时间（开标时间）：</w:t>
      </w:r>
      <w:r>
        <w:rPr>
          <w:rFonts w:hint="eastAsia" w:ascii="宋体" w:hAnsi="宋体" w:cs="宋体"/>
          <w:bCs/>
          <w:sz w:val="24"/>
          <w:highlight w:val="none"/>
          <w:u w:val="single"/>
        </w:rPr>
        <w:t>2025年</w:t>
      </w:r>
      <w:r>
        <w:rPr>
          <w:rFonts w:hint="eastAsia" w:ascii="宋体" w:hAnsi="宋体" w:cs="宋体"/>
          <w:sz w:val="24"/>
          <w:highlight w:val="none"/>
          <w:u w:val="single"/>
          <w:lang w:val="en-US" w:eastAsia="zh-CN"/>
        </w:rPr>
        <w:t>8</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11</w:t>
      </w:r>
      <w:r>
        <w:rPr>
          <w:rFonts w:hint="eastAsia" w:ascii="宋体" w:hAnsi="宋体" w:cs="宋体"/>
          <w:bCs/>
          <w:sz w:val="24"/>
          <w:highlight w:val="none"/>
          <w:u w:val="single"/>
        </w:rPr>
        <w:t>日09点</w:t>
      </w:r>
      <w:r>
        <w:rPr>
          <w:rFonts w:hint="eastAsia" w:ascii="宋体" w:hAnsi="宋体" w:cs="宋体"/>
          <w:bCs/>
          <w:sz w:val="24"/>
          <w:highlight w:val="none"/>
          <w:u w:val="single"/>
          <w:lang w:val="en-US" w:eastAsia="zh-CN"/>
        </w:rPr>
        <w:t>0</w:t>
      </w:r>
      <w:r>
        <w:rPr>
          <w:rFonts w:hint="eastAsia" w:ascii="宋体" w:hAnsi="宋体" w:cs="宋体"/>
          <w:bCs/>
          <w:sz w:val="24"/>
          <w:highlight w:val="none"/>
          <w:u w:val="single"/>
        </w:rPr>
        <w:t>0分</w:t>
      </w:r>
      <w:r>
        <w:rPr>
          <w:rFonts w:hint="eastAsia" w:ascii="宋体" w:hAnsi="宋体" w:cs="宋体"/>
          <w:sz w:val="24"/>
          <w:highlight w:val="none"/>
        </w:rPr>
        <w:t>（北京时间）</w:t>
      </w:r>
    </w:p>
    <w:p w14:paraId="33BE74A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（二）投标网址：台州市智慧招采云平台（https://tz.etrading.cn/）</w:t>
      </w:r>
    </w:p>
    <w:bookmarkEnd w:id="24"/>
    <w:bookmarkEnd w:id="25"/>
    <w:bookmarkEnd w:id="26"/>
    <w:bookmarkEnd w:id="27"/>
    <w:p w14:paraId="1CD5D049">
      <w:pPr>
        <w:pStyle w:val="23"/>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五、发布公告</w:t>
      </w:r>
    </w:p>
    <w:p w14:paraId="0E167452">
      <w:pPr>
        <w:pStyle w:val="23"/>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（一）公告网址：</w:t>
      </w:r>
      <w:r>
        <w:rPr>
          <w:rFonts w:hint="eastAsia" w:ascii="宋体" w:hAnsi="宋体" w:cs="宋体"/>
          <w:kern w:val="0"/>
          <w:sz w:val="24"/>
          <w:highlight w:val="none"/>
        </w:rPr>
        <w:t>台州市智慧招采云平台（https://tz.etrading.cn/）</w:t>
      </w:r>
    </w:p>
    <w:p w14:paraId="6FE8E441">
      <w:pPr>
        <w:pStyle w:val="23"/>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（二）公告期限：</w:t>
      </w:r>
      <w:r>
        <w:rPr>
          <w:rFonts w:hint="eastAsia" w:ascii="宋体" w:hAnsi="宋体" w:cs="宋体"/>
          <w:kern w:val="0"/>
          <w:sz w:val="24"/>
          <w:highlight w:val="none"/>
        </w:rPr>
        <w:t>本公告期限自发布之日起五个工作日</w:t>
      </w:r>
    </w:p>
    <w:p w14:paraId="39E1C617">
      <w:pPr>
        <w:pStyle w:val="3"/>
        <w:ind w:right="0" w:firstLine="482" w:firstLineChars="200"/>
        <w:rPr>
          <w:rFonts w:cs="宋体"/>
          <w:bCs/>
          <w:sz w:val="24"/>
          <w:szCs w:val="24"/>
          <w:highlight w:val="none"/>
        </w:rPr>
      </w:pPr>
      <w:bookmarkStart w:id="28" w:name="_Toc35393795"/>
      <w:bookmarkStart w:id="29" w:name="_Toc35393626"/>
      <w:r>
        <w:rPr>
          <w:rFonts w:hint="eastAsia" w:cs="宋体"/>
          <w:bCs/>
          <w:sz w:val="24"/>
          <w:szCs w:val="24"/>
          <w:highlight w:val="none"/>
        </w:rPr>
        <w:t>六、</w:t>
      </w:r>
      <w:bookmarkEnd w:id="28"/>
      <w:bookmarkEnd w:id="29"/>
      <w:r>
        <w:rPr>
          <w:rFonts w:hint="eastAsia" w:cs="宋体"/>
          <w:bCs/>
          <w:sz w:val="24"/>
          <w:szCs w:val="24"/>
          <w:highlight w:val="none"/>
        </w:rPr>
        <w:t>注册报名</w:t>
      </w:r>
    </w:p>
    <w:p w14:paraId="6BA06AA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投标人需登录浙江省统一市场主体库完善并提交基本信息，系统自动验证通过后方可登录台州市智慧招采云平台（https://tz.etrading.cn/）进行报名投标操作，请各投标人务必提前完成交易主体入库工作。</w:t>
      </w:r>
    </w:p>
    <w:p w14:paraId="44982A6E">
      <w:pPr>
        <w:pStyle w:val="3"/>
        <w:ind w:right="0" w:firstLine="482" w:firstLineChars="200"/>
        <w:rPr>
          <w:rFonts w:cs="宋体"/>
          <w:bCs/>
          <w:sz w:val="24"/>
          <w:szCs w:val="24"/>
          <w:highlight w:val="none"/>
        </w:rPr>
      </w:pPr>
      <w:bookmarkStart w:id="30" w:name="_Toc28359008"/>
      <w:bookmarkStart w:id="31" w:name="_Toc35393796"/>
      <w:bookmarkStart w:id="32" w:name="_Toc28359085"/>
      <w:bookmarkStart w:id="33" w:name="_Toc35393627"/>
      <w:r>
        <w:rPr>
          <w:rFonts w:hint="eastAsia" w:cs="宋体"/>
          <w:bCs/>
          <w:sz w:val="24"/>
          <w:szCs w:val="24"/>
          <w:highlight w:val="none"/>
        </w:rPr>
        <w:t>七、</w:t>
      </w:r>
      <w:bookmarkEnd w:id="30"/>
      <w:bookmarkEnd w:id="31"/>
      <w:bookmarkEnd w:id="32"/>
      <w:bookmarkEnd w:id="33"/>
      <w:r>
        <w:rPr>
          <w:rFonts w:hint="eastAsia" w:cs="宋体"/>
          <w:bCs/>
          <w:sz w:val="24"/>
          <w:szCs w:val="24"/>
          <w:highlight w:val="none"/>
        </w:rPr>
        <w:t>联系方式</w:t>
      </w:r>
    </w:p>
    <w:p w14:paraId="7B0AC0CA">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（一）采购人 </w:t>
      </w:r>
    </w:p>
    <w:p w14:paraId="72C2C41E">
      <w:pPr>
        <w:spacing w:line="336" w:lineRule="auto"/>
        <w:ind w:firstLine="480" w:firstLineChars="200"/>
        <w:rPr>
          <w:rFonts w:ascii="宋体" w:hAnsi="宋体" w:cs="宋体"/>
          <w:sz w:val="24"/>
          <w:highlight w:val="none"/>
        </w:rPr>
      </w:pPr>
      <w:r>
        <w:rPr>
          <w:rFonts w:hint="eastAsia" w:ascii="宋体" w:hAnsi="宋体" w:cs="宋体"/>
          <w:sz w:val="24"/>
          <w:highlight w:val="none"/>
        </w:rPr>
        <w:t>名 称：</w:t>
      </w:r>
      <w:r>
        <w:rPr>
          <w:rFonts w:hint="eastAsia" w:cs="宋体"/>
          <w:sz w:val="24"/>
          <w:highlight w:val="none"/>
          <w:u w:val="single"/>
        </w:rPr>
        <w:t>浙江金豹运业有限公司</w:t>
      </w:r>
    </w:p>
    <w:p w14:paraId="4DADD708">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地 址：</w:t>
      </w:r>
      <w:r>
        <w:rPr>
          <w:rFonts w:hint="eastAsia" w:cs="宋体"/>
          <w:sz w:val="24"/>
          <w:highlight w:val="none"/>
          <w:u w:val="single"/>
        </w:rPr>
        <w:t>浙江省台州市椒江区黄海公路588号</w:t>
      </w:r>
    </w:p>
    <w:p w14:paraId="3B69F057">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联系人：</w:t>
      </w:r>
      <w:bookmarkStart w:id="34" w:name="_Toc28359009"/>
      <w:bookmarkStart w:id="35" w:name="_Toc28359086"/>
      <w:r>
        <w:rPr>
          <w:rFonts w:hint="eastAsia" w:ascii="宋体" w:hAnsi="宋体" w:cs="宋体"/>
          <w:sz w:val="24"/>
          <w:highlight w:val="none"/>
          <w:u w:val="single"/>
        </w:rPr>
        <w:t>柯先生</w:t>
      </w:r>
    </w:p>
    <w:p w14:paraId="6A4301BB">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0576-89088338</w:t>
      </w:r>
    </w:p>
    <w:bookmarkEnd w:id="34"/>
    <w:bookmarkEnd w:id="35"/>
    <w:p w14:paraId="47D607DC">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受理联系人：</w:t>
      </w:r>
      <w:r>
        <w:rPr>
          <w:rFonts w:hint="eastAsia" w:ascii="宋体" w:hAnsi="宋体" w:cs="宋体"/>
          <w:sz w:val="24"/>
          <w:highlight w:val="none"/>
          <w:u w:val="single"/>
        </w:rPr>
        <w:t>李骁奔（受理相关质疑及答复）</w:t>
      </w:r>
    </w:p>
    <w:p w14:paraId="145ABA6D">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0576-89088323</w:t>
      </w:r>
    </w:p>
    <w:p w14:paraId="2F16B7C4">
      <w:pPr>
        <w:spacing w:line="336" w:lineRule="auto"/>
        <w:ind w:firstLine="482" w:firstLineChars="200"/>
        <w:rPr>
          <w:rFonts w:ascii="宋体" w:hAnsi="宋体" w:cs="宋体"/>
          <w:b/>
          <w:sz w:val="24"/>
          <w:highlight w:val="none"/>
        </w:rPr>
      </w:pPr>
      <w:r>
        <w:rPr>
          <w:rFonts w:hint="eastAsia" w:ascii="宋体" w:hAnsi="宋体" w:cs="宋体"/>
          <w:b/>
          <w:bCs/>
          <w:sz w:val="24"/>
          <w:highlight w:val="none"/>
        </w:rPr>
        <w:t>（二）采购组织机构</w:t>
      </w:r>
    </w:p>
    <w:p w14:paraId="12514E55">
      <w:pPr>
        <w:spacing w:line="336" w:lineRule="auto"/>
        <w:ind w:firstLine="480" w:firstLineChars="200"/>
        <w:rPr>
          <w:rFonts w:ascii="宋体" w:hAnsi="宋体" w:cs="宋体"/>
          <w:sz w:val="24"/>
          <w:highlight w:val="none"/>
          <w:u w:val="single"/>
        </w:rPr>
      </w:pPr>
      <w:bookmarkStart w:id="36" w:name="_Toc28359087"/>
      <w:bookmarkStart w:id="37" w:name="_Toc28359010"/>
      <w:r>
        <w:rPr>
          <w:rFonts w:hint="eastAsia" w:ascii="宋体" w:hAnsi="宋体" w:cs="宋体"/>
          <w:sz w:val="24"/>
          <w:highlight w:val="none"/>
        </w:rPr>
        <w:t>名 称：</w:t>
      </w:r>
      <w:r>
        <w:rPr>
          <w:rFonts w:hint="eastAsia" w:ascii="宋体" w:hAnsi="宋体" w:cs="宋体"/>
          <w:sz w:val="24"/>
          <w:highlight w:val="none"/>
          <w:u w:val="single"/>
        </w:rPr>
        <w:t>台州市建设咨询有限公司</w:t>
      </w:r>
    </w:p>
    <w:p w14:paraId="227F325D">
      <w:pPr>
        <w:spacing w:line="312" w:lineRule="auto"/>
        <w:ind w:firstLine="480" w:firstLineChars="20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浙江省台州市椒江区葭沚街道工人西路427号</w:t>
      </w:r>
    </w:p>
    <w:p w14:paraId="5437BDA9">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项目联系人：</w:t>
      </w:r>
      <w:r>
        <w:rPr>
          <w:rFonts w:hint="eastAsia" w:ascii="宋体" w:hAnsi="宋体" w:cs="宋体"/>
          <w:sz w:val="24"/>
          <w:highlight w:val="none"/>
          <w:u w:val="single"/>
        </w:rPr>
        <w:t>李女士</w:t>
      </w:r>
    </w:p>
    <w:p w14:paraId="67085EF5">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0576-88519890</w:t>
      </w:r>
    </w:p>
    <w:p w14:paraId="462ACEF9">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受理联系人：</w:t>
      </w:r>
      <w:r>
        <w:rPr>
          <w:rFonts w:hint="eastAsia" w:ascii="宋体" w:hAnsi="宋体" w:cs="宋体"/>
          <w:sz w:val="24"/>
          <w:highlight w:val="none"/>
          <w:u w:val="single"/>
        </w:rPr>
        <w:t>徐瑜（受理相关质疑及答复）</w:t>
      </w:r>
    </w:p>
    <w:p w14:paraId="7B6E407A">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0576-88519890</w:t>
      </w:r>
    </w:p>
    <w:p w14:paraId="03830677">
      <w:pPr>
        <w:spacing w:line="336" w:lineRule="auto"/>
        <w:ind w:firstLine="482" w:firstLineChars="200"/>
        <w:rPr>
          <w:rFonts w:ascii="宋体" w:hAnsi="宋体" w:cs="宋体"/>
          <w:b/>
          <w:sz w:val="24"/>
          <w:highlight w:val="none"/>
        </w:rPr>
      </w:pPr>
      <w:r>
        <w:rPr>
          <w:rFonts w:hint="eastAsia" w:ascii="宋体" w:hAnsi="宋体" w:cs="宋体"/>
          <w:b/>
          <w:sz w:val="24"/>
          <w:highlight w:val="none"/>
        </w:rPr>
        <w:t>（三）台州市智慧招采云平台</w:t>
      </w:r>
    </w:p>
    <w:p w14:paraId="398F9C89">
      <w:pPr>
        <w:spacing w:line="336" w:lineRule="auto"/>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0676-88666661</w:t>
      </w:r>
    </w:p>
    <w:p w14:paraId="4A0A8D2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36" w:lineRule="auto"/>
        <w:ind w:firstLine="200"/>
        <w:jc w:val="right"/>
        <w:rPr>
          <w:rFonts w:ascii="宋体" w:hAnsi="宋体" w:cs="宋体"/>
          <w:sz w:val="24"/>
          <w:highlight w:val="none"/>
        </w:rPr>
      </w:pPr>
      <w:r>
        <w:rPr>
          <w:rFonts w:hint="eastAsia" w:ascii="宋体" w:hAnsi="宋体" w:cs="宋体"/>
          <w:sz w:val="24"/>
          <w:highlight w:val="none"/>
          <w:shd w:val="clear" w:color="auto" w:fill="FFFFFF"/>
        </w:rPr>
        <w:t xml:space="preserve"> 台州市建设咨询有限公司</w:t>
      </w:r>
      <w:r>
        <w:rPr>
          <w:rFonts w:hint="eastAsia" w:ascii="宋体" w:hAnsi="宋体" w:cs="宋体"/>
          <w:kern w:val="0"/>
          <w:sz w:val="24"/>
          <w:highlight w:val="none"/>
        </w:rPr>
        <w:t xml:space="preserve">  </w:t>
      </w:r>
    </w:p>
    <w:p w14:paraId="4F76F3E2">
      <w:pPr>
        <w:widowControl/>
        <w:spacing w:line="336" w:lineRule="auto"/>
        <w:ind w:firstLine="200"/>
        <w:jc w:val="right"/>
        <w:rPr>
          <w:rFonts w:asciiTheme="minorEastAsia" w:hAnsiTheme="minorEastAsia" w:eastAsiaTheme="minorEastAsia" w:cstheme="minorEastAsia"/>
          <w:kern w:val="0"/>
          <w:sz w:val="24"/>
          <w:highlight w:val="none"/>
        </w:rPr>
      </w:pPr>
      <w:r>
        <w:rPr>
          <w:rFonts w:hint="eastAsia" w:ascii="宋体" w:hAnsi="宋体" w:cs="宋体"/>
          <w:kern w:val="0"/>
          <w:sz w:val="24"/>
          <w:highlight w:val="none"/>
        </w:rPr>
        <w:t xml:space="preserve">                                                      </w:t>
      </w:r>
      <w:r>
        <w:rPr>
          <w:rFonts w:hint="eastAsia" w:asciiTheme="minorEastAsia" w:hAnsiTheme="minorEastAsia" w:eastAsiaTheme="minorEastAsia" w:cstheme="minorEastAsia"/>
          <w:kern w:val="0"/>
          <w:sz w:val="24"/>
          <w:highlight w:val="none"/>
        </w:rPr>
        <w:t>2025年</w:t>
      </w:r>
      <w:r>
        <w:rPr>
          <w:rFonts w:hint="eastAsia" w:asciiTheme="minorEastAsia" w:hAnsiTheme="minorEastAsia" w:eastAsiaTheme="minorEastAsia" w:cstheme="minorEastAsia"/>
          <w:sz w:val="24"/>
          <w:highlight w:val="none"/>
          <w:lang w:val="en-US" w:eastAsia="zh-CN"/>
        </w:rPr>
        <w:t>8</w:t>
      </w:r>
      <w:r>
        <w:rPr>
          <w:rFonts w:hint="eastAsia" w:asciiTheme="minorEastAsia" w:hAnsiTheme="minorEastAsia" w:eastAsiaTheme="minorEastAsia" w:cstheme="minorEastAsia"/>
          <w:kern w:val="0"/>
          <w:sz w:val="24"/>
          <w:highlight w:val="none"/>
        </w:rPr>
        <w:t>月</w:t>
      </w:r>
    </w:p>
    <w:p w14:paraId="0975F1CF">
      <w:pPr>
        <w:widowControl/>
        <w:spacing w:line="336" w:lineRule="auto"/>
        <w:ind w:firstLine="200"/>
        <w:jc w:val="right"/>
        <w:rPr>
          <w:rFonts w:asciiTheme="minorEastAsia" w:hAnsiTheme="minorEastAsia" w:eastAsiaTheme="minorEastAsia" w:cstheme="minorEastAsia"/>
          <w:kern w:val="0"/>
          <w:sz w:val="24"/>
          <w:highlight w:val="none"/>
        </w:rPr>
      </w:pPr>
    </w:p>
    <w:p w14:paraId="7F6424E8">
      <w:pPr>
        <w:pStyle w:val="30"/>
        <w:rPr>
          <w:rFonts w:hint="default" w:asciiTheme="minorEastAsia" w:hAnsiTheme="minorEastAsia" w:eastAsiaTheme="minorEastAsia" w:cstheme="minorEastAsia"/>
          <w:highlight w:val="none"/>
        </w:rPr>
      </w:pPr>
    </w:p>
    <w:p w14:paraId="04E4C860">
      <w:pP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br w:type="page"/>
      </w:r>
    </w:p>
    <w:p w14:paraId="6558E427">
      <w:pPr>
        <w:pStyle w:val="23"/>
        <w:rPr>
          <w:highlight w:val="none"/>
        </w:rPr>
      </w:pPr>
    </w:p>
    <w:bookmarkEnd w:id="36"/>
    <w:bookmarkEnd w:id="37"/>
    <w:p w14:paraId="3DBE159F">
      <w:pPr>
        <w:numPr>
          <w:ilvl w:val="0"/>
          <w:numId w:val="4"/>
        </w:numPr>
        <w:spacing w:line="360" w:lineRule="auto"/>
        <w:jc w:val="center"/>
        <w:rPr>
          <w:rFonts w:asciiTheme="minorEastAsia" w:hAnsiTheme="minorEastAsia" w:eastAsiaTheme="minorEastAsia"/>
          <w:b/>
          <w:sz w:val="36"/>
          <w:szCs w:val="36"/>
          <w:highlight w:val="none"/>
        </w:rPr>
      </w:pPr>
      <w:bookmarkStart w:id="38" w:name="_Toc25017_WPSOffice_Level1"/>
      <w:r>
        <w:rPr>
          <w:rFonts w:hint="eastAsia" w:asciiTheme="minorEastAsia" w:hAnsiTheme="minorEastAsia" w:eastAsiaTheme="minorEastAsia"/>
          <w:b/>
          <w:sz w:val="36"/>
          <w:szCs w:val="36"/>
          <w:highlight w:val="none"/>
        </w:rPr>
        <w:t>投标人须知</w:t>
      </w:r>
      <w:bookmarkEnd w:id="38"/>
    </w:p>
    <w:p w14:paraId="32191464">
      <w:pPr>
        <w:numPr>
          <w:ilvl w:val="0"/>
          <w:numId w:val="5"/>
        </w:numPr>
        <w:spacing w:line="360" w:lineRule="auto"/>
        <w:ind w:firstLine="482" w:firstLineChars="200"/>
        <w:rPr>
          <w:highlight w:val="none"/>
        </w:rPr>
      </w:pPr>
      <w:r>
        <w:rPr>
          <w:rFonts w:hint="eastAsia" w:asciiTheme="minorEastAsia" w:hAnsiTheme="minorEastAsia" w:eastAsiaTheme="minorEastAsia"/>
          <w:b/>
          <w:sz w:val="24"/>
          <w:highlight w:val="none"/>
        </w:rPr>
        <w:t>前附表</w:t>
      </w:r>
    </w:p>
    <w:tbl>
      <w:tblPr>
        <w:tblStyle w:val="24"/>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7361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EA5406">
            <w:pPr>
              <w:spacing w:line="360" w:lineRule="auto"/>
              <w:jc w:val="center"/>
              <w:rPr>
                <w:rFonts w:ascii="宋体" w:hAnsi="宋体" w:cs="宋体"/>
                <w:b/>
                <w:bCs/>
                <w:highlight w:val="none"/>
              </w:rPr>
            </w:pPr>
            <w:r>
              <w:rPr>
                <w:rFonts w:hint="eastAsia" w:ascii="宋体" w:hAnsi="宋体" w:cs="宋体"/>
                <w:b/>
                <w:bCs/>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21C7D3">
            <w:pPr>
              <w:spacing w:line="360" w:lineRule="auto"/>
              <w:jc w:val="center"/>
              <w:rPr>
                <w:rFonts w:ascii="宋体" w:hAnsi="宋体" w:cs="宋体"/>
                <w:b/>
                <w:bCs/>
                <w:highlight w:val="none"/>
              </w:rPr>
            </w:pPr>
            <w:r>
              <w:rPr>
                <w:rFonts w:hint="eastAsia" w:ascii="宋体" w:hAnsi="宋体" w:cs="宋体"/>
                <w:b/>
                <w:bCs/>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B02700">
            <w:pPr>
              <w:spacing w:line="360" w:lineRule="auto"/>
              <w:jc w:val="center"/>
              <w:rPr>
                <w:rFonts w:ascii="宋体" w:hAnsi="宋体" w:cs="宋体"/>
                <w:b/>
                <w:bCs/>
                <w:highlight w:val="none"/>
              </w:rPr>
            </w:pPr>
            <w:r>
              <w:rPr>
                <w:rFonts w:hint="eastAsia" w:ascii="宋体" w:hAnsi="宋体" w:cs="宋体"/>
                <w:b/>
                <w:bCs/>
                <w:highlight w:val="none"/>
              </w:rPr>
              <w:t>本项目的特别规定</w:t>
            </w:r>
          </w:p>
        </w:tc>
      </w:tr>
      <w:tr w14:paraId="0F1A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65C459">
            <w:pPr>
              <w:spacing w:line="360" w:lineRule="auto"/>
              <w:jc w:val="center"/>
              <w:rPr>
                <w:rFonts w:ascii="宋体" w:hAnsi="宋体" w:cs="宋体"/>
                <w:highlight w:val="none"/>
              </w:rPr>
            </w:pPr>
            <w:r>
              <w:rPr>
                <w:rFonts w:hint="eastAsia" w:ascii="宋体" w:hAnsi="宋体" w:cs="宋体"/>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F9F924">
            <w:pPr>
              <w:spacing w:line="360" w:lineRule="auto"/>
              <w:jc w:val="center"/>
              <w:rPr>
                <w:rFonts w:ascii="宋体" w:hAnsi="宋体" w:cs="宋体"/>
                <w:highlight w:val="none"/>
              </w:rPr>
            </w:pPr>
            <w:r>
              <w:rPr>
                <w:rFonts w:hint="eastAsia" w:ascii="宋体" w:hAnsi="宋体" w:cs="宋体"/>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67BEAF">
            <w:pPr>
              <w:spacing w:line="360" w:lineRule="auto"/>
              <w:ind w:firstLine="420" w:firstLineChars="200"/>
              <w:rPr>
                <w:rFonts w:ascii="宋体" w:hAnsi="宋体" w:cs="宋体"/>
                <w:highlight w:val="none"/>
              </w:rPr>
            </w:pPr>
            <w:r>
              <w:rPr>
                <w:rFonts w:hint="eastAsia" w:ascii="宋体" w:hAnsi="宋体" w:cs="宋体"/>
                <w:highlight w:val="none"/>
              </w:rPr>
              <w:t>否</w:t>
            </w:r>
          </w:p>
        </w:tc>
      </w:tr>
      <w:tr w14:paraId="7CB2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2A93D9">
            <w:pPr>
              <w:spacing w:line="360" w:lineRule="auto"/>
              <w:jc w:val="center"/>
              <w:rPr>
                <w:rFonts w:ascii="宋体" w:hAnsi="宋体" w:cs="宋体"/>
                <w:highlight w:val="none"/>
              </w:rPr>
            </w:pPr>
            <w:r>
              <w:rPr>
                <w:rFonts w:hint="eastAsia" w:ascii="宋体" w:hAnsi="宋体" w:cs="宋体"/>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BF000B">
            <w:pPr>
              <w:spacing w:line="360" w:lineRule="auto"/>
              <w:jc w:val="center"/>
              <w:rPr>
                <w:rFonts w:ascii="宋体" w:hAnsi="宋体" w:cs="宋体"/>
                <w:highlight w:val="none"/>
              </w:rPr>
            </w:pPr>
            <w:r>
              <w:rPr>
                <w:rFonts w:hint="eastAsia" w:ascii="宋体" w:hAnsi="宋体" w:cs="宋体"/>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94D6D2">
            <w:pPr>
              <w:spacing w:line="360" w:lineRule="auto"/>
              <w:ind w:firstLine="420" w:firstLineChars="200"/>
              <w:rPr>
                <w:rFonts w:ascii="宋体" w:hAnsi="宋体" w:cs="宋体"/>
                <w:highlight w:val="none"/>
              </w:rPr>
            </w:pPr>
            <w:r>
              <w:rPr>
                <w:rFonts w:hint="eastAsia" w:ascii="宋体" w:hAnsi="宋体" w:cs="宋体"/>
                <w:highlight w:val="none"/>
              </w:rPr>
              <w:t>否</w:t>
            </w:r>
          </w:p>
        </w:tc>
      </w:tr>
      <w:tr w14:paraId="6682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679D4A">
            <w:pPr>
              <w:spacing w:line="360" w:lineRule="auto"/>
              <w:jc w:val="center"/>
              <w:rPr>
                <w:rFonts w:ascii="宋体" w:hAnsi="宋体" w:cs="宋体"/>
                <w:highlight w:val="none"/>
              </w:rPr>
            </w:pPr>
            <w:r>
              <w:rPr>
                <w:rFonts w:hint="eastAsia" w:ascii="宋体" w:hAnsi="宋体" w:cs="宋体"/>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23CEE3">
            <w:pPr>
              <w:spacing w:line="360" w:lineRule="auto"/>
              <w:jc w:val="center"/>
              <w:rPr>
                <w:rFonts w:ascii="宋体" w:hAnsi="宋体" w:cs="宋体"/>
                <w:highlight w:val="none"/>
              </w:rPr>
            </w:pPr>
            <w:r>
              <w:rPr>
                <w:rFonts w:hint="eastAsia" w:ascii="宋体" w:hAnsi="宋体" w:cs="宋体"/>
                <w:highlight w:val="none"/>
              </w:rPr>
              <w:t>答疑会或</w:t>
            </w:r>
          </w:p>
          <w:p w14:paraId="4D84AED9">
            <w:pPr>
              <w:spacing w:line="360" w:lineRule="auto"/>
              <w:jc w:val="center"/>
              <w:rPr>
                <w:rFonts w:ascii="宋体" w:hAnsi="宋体" w:cs="宋体"/>
                <w:highlight w:val="none"/>
              </w:rPr>
            </w:pPr>
            <w:r>
              <w:rPr>
                <w:rFonts w:hint="eastAsia" w:ascii="宋体" w:hAnsi="宋体" w:cs="宋体"/>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B69AF2">
            <w:pPr>
              <w:spacing w:line="360" w:lineRule="auto"/>
              <w:ind w:firstLine="420" w:firstLineChars="200"/>
              <w:rPr>
                <w:rFonts w:ascii="宋体" w:hAnsi="宋体" w:cs="宋体"/>
                <w:highlight w:val="none"/>
              </w:rPr>
            </w:pPr>
            <w:r>
              <w:rPr>
                <w:rFonts w:hint="eastAsia" w:ascii="宋体" w:hAnsi="宋体" w:cs="宋体"/>
                <w:highlight w:val="none"/>
              </w:rPr>
              <w:t>无。不组织集体踏勘，投标单位自行到现场进行踏勘。</w:t>
            </w:r>
          </w:p>
        </w:tc>
      </w:tr>
      <w:tr w14:paraId="1A74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CB3A80">
            <w:pPr>
              <w:spacing w:line="360" w:lineRule="auto"/>
              <w:jc w:val="center"/>
              <w:rPr>
                <w:rFonts w:ascii="宋体" w:hAnsi="宋体" w:cs="宋体"/>
                <w:highlight w:val="none"/>
              </w:rPr>
            </w:pPr>
            <w:r>
              <w:rPr>
                <w:rFonts w:hint="eastAsia" w:ascii="宋体" w:hAnsi="宋体" w:cs="宋体"/>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8E87F5">
            <w:pPr>
              <w:spacing w:line="360" w:lineRule="auto"/>
              <w:jc w:val="center"/>
              <w:rPr>
                <w:rFonts w:ascii="宋体" w:hAnsi="宋体" w:cs="宋体"/>
                <w:highlight w:val="none"/>
              </w:rPr>
            </w:pPr>
            <w:r>
              <w:rPr>
                <w:rFonts w:hint="eastAsia" w:ascii="宋体" w:hAnsi="宋体" w:cs="宋体"/>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C75195">
            <w:pPr>
              <w:spacing w:line="360" w:lineRule="auto"/>
              <w:ind w:firstLine="420" w:firstLineChars="200"/>
              <w:rPr>
                <w:rFonts w:ascii="宋体" w:hAnsi="宋体" w:cs="宋体"/>
                <w:highlight w:val="none"/>
              </w:rPr>
            </w:pPr>
            <w:r>
              <w:rPr>
                <w:rFonts w:hint="eastAsia" w:ascii="宋体" w:hAnsi="宋体" w:cs="宋体"/>
                <w:highlight w:val="none"/>
              </w:rPr>
              <w:t>请投标人在投标前仔细阅读台州市智慧招采云平台（https://tz.etrading.cn/）操作指南《投标人操作手册》。</w:t>
            </w:r>
          </w:p>
          <w:p w14:paraId="7F6E91B5">
            <w:pPr>
              <w:spacing w:line="360" w:lineRule="auto"/>
              <w:ind w:firstLine="420" w:firstLineChars="200"/>
              <w:jc w:val="left"/>
              <w:rPr>
                <w:rFonts w:ascii="宋体" w:hAnsi="宋体" w:cs="宋体"/>
                <w:highlight w:val="none"/>
              </w:rPr>
            </w:pPr>
            <w:r>
              <w:rPr>
                <w:rFonts w:hint="eastAsia" w:ascii="宋体" w:hAnsi="宋体" w:cs="宋体"/>
                <w:highlight w:val="none"/>
              </w:rPr>
              <w:t>1.投标文件的制作：投标人按照本项目招标文件和台州市智慧招采云平台的要求，通过“标桥（浙江省）版”编制、加密并递交投标文件（下载网址：</w:t>
            </w:r>
            <w:r>
              <w:rPr>
                <w:highlight w:val="none"/>
              </w:rPr>
              <w:fldChar w:fldCharType="begin"/>
            </w:r>
            <w:r>
              <w:rPr>
                <w:highlight w:val="none"/>
              </w:rPr>
              <w:instrText xml:space="preserve"> HYPERLINK "http://www.zjzfcg.gov.cn/bidClientTemplate/2019-09-24/12975.html）。" </w:instrText>
            </w:r>
            <w:r>
              <w:rPr>
                <w:highlight w:val="none"/>
              </w:rPr>
              <w:fldChar w:fldCharType="separate"/>
            </w:r>
            <w:r>
              <w:rPr>
                <w:rFonts w:hint="eastAsia" w:ascii="宋体" w:hAnsi="宋体" w:cs="宋体"/>
                <w:highlight w:val="none"/>
              </w:rPr>
              <w:t>https://download.bqpoint.com/?SourceFrom=Ztb&amp;ZtbSoftXiaQuCode=110903&amp;ZtbSoftType=tballinclusive&amp;SoftGuid=8aabdb00-3024-4497-9904-c0fe008695a6&amp;RootGuid=bbba4eec-2088-4c06-895d-59a4148f1eb7&amp;softtypecode=03）。</w:t>
            </w:r>
            <w:r>
              <w:rPr>
                <w:rFonts w:hint="eastAsia" w:ascii="宋体" w:hAnsi="宋体" w:cs="宋体"/>
                <w:highlight w:val="none"/>
              </w:rPr>
              <w:fldChar w:fldCharType="end"/>
            </w:r>
          </w:p>
          <w:p w14:paraId="3DFAB083">
            <w:pPr>
              <w:spacing w:line="360" w:lineRule="auto"/>
              <w:ind w:firstLine="420" w:firstLineChars="200"/>
              <w:rPr>
                <w:rFonts w:ascii="宋体" w:hAnsi="宋体" w:cs="宋体"/>
                <w:highlight w:val="none"/>
              </w:rPr>
            </w:pPr>
            <w:r>
              <w:rPr>
                <w:rFonts w:hint="eastAsia" w:ascii="宋体" w:hAnsi="宋体" w:cs="宋体"/>
                <w:highlight w:val="none"/>
              </w:rPr>
              <w:t>2.投标：投标人应当在投标截止时间前（开标当天北京时间</w:t>
            </w:r>
            <w:r>
              <w:rPr>
                <w:rFonts w:hint="eastAsia" w:ascii="宋体" w:hAnsi="宋体" w:cs="宋体"/>
                <w:highlight w:val="none"/>
                <w:u w:val="single"/>
              </w:rPr>
              <w:t>09:00</w:t>
            </w:r>
            <w:r>
              <w:rPr>
                <w:rFonts w:hint="eastAsia" w:ascii="宋体" w:hAnsi="宋体" w:cs="宋体"/>
                <w:highlight w:val="none"/>
              </w:rPr>
              <w:t>）完成投标文件的传输递交，逾期上传的投标文件恕不接受。补充或者修改投标文件的，应当先行撤回原文件，补充、修改后重新传输递交。投标截止时间前未完成上传的，视为撤回投标文件。</w:t>
            </w:r>
          </w:p>
          <w:p w14:paraId="394F4346">
            <w:pPr>
              <w:spacing w:line="360" w:lineRule="auto"/>
              <w:ind w:firstLine="420" w:firstLineChars="200"/>
              <w:rPr>
                <w:rFonts w:ascii="宋体" w:hAnsi="宋体" w:cs="宋体"/>
                <w:highlight w:val="none"/>
              </w:rPr>
            </w:pPr>
            <w:r>
              <w:rPr>
                <w:rFonts w:hint="eastAsia" w:ascii="宋体" w:hAnsi="宋体" w:cs="宋体"/>
                <w:highlight w:val="none"/>
              </w:rPr>
              <w:t>3.投标文件解密：由招标人（招标代理）在不见面开标大厅使用介质CA一键解密。</w:t>
            </w:r>
          </w:p>
        </w:tc>
      </w:tr>
      <w:tr w14:paraId="7221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E4AE18">
            <w:pPr>
              <w:spacing w:line="360" w:lineRule="auto"/>
              <w:jc w:val="center"/>
              <w:rPr>
                <w:rFonts w:ascii="宋体" w:hAnsi="宋体" w:cs="宋体"/>
                <w:highlight w:val="none"/>
              </w:rPr>
            </w:pPr>
            <w:r>
              <w:rPr>
                <w:rFonts w:hint="eastAsia" w:ascii="宋体" w:hAnsi="宋体" w:cs="宋体"/>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C15D47">
            <w:pPr>
              <w:spacing w:line="360" w:lineRule="auto"/>
              <w:jc w:val="center"/>
              <w:rPr>
                <w:rFonts w:ascii="宋体" w:hAnsi="宋体" w:cs="宋体"/>
                <w:highlight w:val="none"/>
              </w:rPr>
            </w:pPr>
            <w:r>
              <w:rPr>
                <w:rFonts w:hint="eastAsia" w:ascii="宋体" w:hAnsi="宋体" w:cs="宋体"/>
                <w:highlight w:val="none"/>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1C71AA">
            <w:pPr>
              <w:spacing w:line="360" w:lineRule="auto"/>
              <w:ind w:firstLine="420" w:firstLineChars="200"/>
              <w:rPr>
                <w:rFonts w:ascii="宋体" w:hAnsi="宋体" w:cs="宋体"/>
                <w:highlight w:val="none"/>
              </w:rPr>
            </w:pPr>
            <w:r>
              <w:rPr>
                <w:rFonts w:hint="eastAsia" w:ascii="宋体" w:hAnsi="宋体" w:cs="宋体"/>
                <w:highlight w:val="none"/>
              </w:rPr>
              <w:t>/</w:t>
            </w:r>
          </w:p>
        </w:tc>
      </w:tr>
      <w:tr w14:paraId="755E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A01181">
            <w:pPr>
              <w:spacing w:line="360" w:lineRule="auto"/>
              <w:jc w:val="center"/>
              <w:rPr>
                <w:rFonts w:ascii="宋体" w:hAnsi="宋体" w:cs="宋体"/>
                <w:highlight w:val="none"/>
              </w:rPr>
            </w:pPr>
            <w:r>
              <w:rPr>
                <w:rFonts w:hint="eastAsia" w:ascii="宋体" w:hAnsi="宋体" w:cs="宋体"/>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DF9DBE">
            <w:pPr>
              <w:spacing w:line="360" w:lineRule="auto"/>
              <w:jc w:val="center"/>
              <w:rPr>
                <w:rFonts w:ascii="宋体" w:hAnsi="宋体" w:cs="宋体"/>
                <w:highlight w:val="none"/>
              </w:rPr>
            </w:pPr>
            <w:r>
              <w:rPr>
                <w:rFonts w:hint="eastAsia" w:ascii="宋体" w:hAnsi="宋体" w:cs="宋体"/>
                <w:highlight w:val="none"/>
              </w:rPr>
              <w:t>投标与开标</w:t>
            </w:r>
          </w:p>
          <w:p w14:paraId="1B61E58A">
            <w:pPr>
              <w:spacing w:line="360" w:lineRule="auto"/>
              <w:jc w:val="center"/>
              <w:rPr>
                <w:rFonts w:ascii="宋体" w:hAnsi="宋体" w:cs="宋体"/>
                <w:highlight w:val="none"/>
              </w:rPr>
            </w:pPr>
            <w:r>
              <w:rPr>
                <w:rFonts w:hint="eastAsia" w:ascii="宋体" w:hAnsi="宋体" w:cs="宋体"/>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E72086">
            <w:pPr>
              <w:spacing w:line="360" w:lineRule="auto"/>
              <w:ind w:firstLine="420" w:firstLineChars="200"/>
              <w:rPr>
                <w:rFonts w:ascii="宋体" w:hAnsi="宋体" w:cs="宋体"/>
                <w:highlight w:val="none"/>
              </w:rPr>
            </w:pPr>
            <w:r>
              <w:rPr>
                <w:rFonts w:hint="eastAsia" w:ascii="宋体" w:hAnsi="宋体" w:cs="宋体"/>
                <w:highlight w:val="none"/>
              </w:rPr>
              <w:t>1.本项目实行电子投标，投标人自行承担投标一切费用。</w:t>
            </w:r>
          </w:p>
          <w:p w14:paraId="0BB2BE38">
            <w:pPr>
              <w:spacing w:line="360" w:lineRule="auto"/>
              <w:ind w:firstLine="420" w:firstLineChars="200"/>
              <w:rPr>
                <w:rFonts w:ascii="宋体" w:hAnsi="宋体" w:cs="宋体"/>
                <w:highlight w:val="none"/>
              </w:rPr>
            </w:pPr>
            <w:r>
              <w:rPr>
                <w:rFonts w:hint="eastAsia" w:ascii="宋体" w:hAnsi="宋体" w:cs="宋体"/>
                <w:highlight w:val="none"/>
              </w:rPr>
              <w:t>2.标前准备：投标人在开标前确保成为台州市智慧招采云平台正式注册用户，并完成CA数字证书办理（办理流程详见本招标公告附件：台州市智慧招采云平台（https://tz.etrading.cn/）操作指南-(CA办理指南）。因未注册入库、未办理CA数字证书等原因造成无法投标或投标失败等后果由投标人自行承担。</w:t>
            </w:r>
          </w:p>
        </w:tc>
      </w:tr>
      <w:tr w14:paraId="662D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964E81">
            <w:pPr>
              <w:spacing w:line="360" w:lineRule="auto"/>
              <w:jc w:val="center"/>
              <w:rPr>
                <w:rFonts w:ascii="宋体" w:hAnsi="宋体" w:cs="宋体"/>
                <w:highlight w:val="none"/>
              </w:rPr>
            </w:pPr>
            <w:r>
              <w:rPr>
                <w:rFonts w:hint="eastAsia" w:ascii="宋体" w:hAnsi="宋体" w:cs="宋体"/>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0F5175">
            <w:pPr>
              <w:spacing w:line="360" w:lineRule="auto"/>
              <w:jc w:val="center"/>
              <w:rPr>
                <w:rFonts w:ascii="宋体" w:hAnsi="宋体" w:cs="宋体"/>
                <w:highlight w:val="none"/>
              </w:rPr>
            </w:pPr>
            <w:r>
              <w:rPr>
                <w:rFonts w:hint="eastAsia" w:ascii="宋体" w:hAnsi="宋体" w:cs="宋体"/>
                <w:highlight w:val="none"/>
              </w:rPr>
              <w:t>信用信息</w:t>
            </w:r>
          </w:p>
          <w:p w14:paraId="77502DAC">
            <w:pPr>
              <w:spacing w:line="360" w:lineRule="auto"/>
              <w:jc w:val="center"/>
              <w:rPr>
                <w:rFonts w:ascii="宋体" w:hAnsi="宋体" w:cs="宋体"/>
                <w:highlight w:val="none"/>
              </w:rPr>
            </w:pPr>
            <w:r>
              <w:rPr>
                <w:rFonts w:hint="eastAsia" w:ascii="宋体" w:hAnsi="宋体" w:cs="宋体"/>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EEFDB1">
            <w:pPr>
              <w:spacing w:line="360" w:lineRule="auto"/>
              <w:ind w:firstLine="420" w:firstLineChars="200"/>
              <w:rPr>
                <w:rFonts w:ascii="宋体" w:hAnsi="宋体" w:cs="宋体"/>
                <w:highlight w:val="none"/>
              </w:rPr>
            </w:pPr>
            <w:r>
              <w:rPr>
                <w:rFonts w:hint="eastAsia" w:ascii="宋体" w:hAnsi="宋体" w:cs="宋体"/>
                <w:highlight w:val="none"/>
              </w:rPr>
              <w:t>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highlight w:val="none"/>
              </w:rPr>
              <w:t>http://www.creditchina.gov.cn</w:t>
            </w:r>
            <w:r>
              <w:rPr>
                <w:rFonts w:hint="eastAsia" w:ascii="宋体" w:hAnsi="宋体" w:cs="宋体"/>
                <w:highlight w:val="none"/>
              </w:rPr>
              <w:fldChar w:fldCharType="end"/>
            </w:r>
            <w:r>
              <w:rPr>
                <w:rFonts w:hint="eastAsia" w:ascii="宋体" w:hAnsi="宋体" w:cs="宋体"/>
                <w:highlight w:val="none"/>
              </w:rPr>
              <w:t>）</w:t>
            </w:r>
          </w:p>
          <w:p w14:paraId="7DA894EB">
            <w:pPr>
              <w:spacing w:line="360" w:lineRule="auto"/>
              <w:ind w:firstLine="420" w:firstLineChars="200"/>
              <w:rPr>
                <w:rFonts w:ascii="宋体" w:hAnsi="宋体" w:cs="宋体"/>
                <w:highlight w:val="none"/>
              </w:rPr>
            </w:pPr>
            <w:r>
              <w:rPr>
                <w:rFonts w:hint="eastAsia" w:ascii="宋体" w:hAnsi="宋体" w:cs="宋体"/>
                <w:highlight w:val="none"/>
              </w:rPr>
              <w:t>中国政府采购网（网址：http://www.ccgp.gov.cn）</w:t>
            </w:r>
          </w:p>
        </w:tc>
      </w:tr>
      <w:tr w14:paraId="525C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D72028">
            <w:pPr>
              <w:spacing w:line="360" w:lineRule="auto"/>
              <w:jc w:val="center"/>
              <w:rPr>
                <w:rFonts w:ascii="宋体" w:hAnsi="宋体" w:cs="宋体"/>
                <w:highlight w:val="none"/>
              </w:rPr>
            </w:pPr>
            <w:r>
              <w:rPr>
                <w:rFonts w:hint="eastAsia" w:ascii="宋体" w:hAnsi="宋体" w:cs="宋体"/>
                <w:highlight w:val="none"/>
              </w:rPr>
              <w:t>8</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335C2765">
            <w:pPr>
              <w:spacing w:line="360" w:lineRule="auto"/>
              <w:jc w:val="center"/>
              <w:rPr>
                <w:rFonts w:ascii="宋体" w:hAnsi="宋体" w:cs="宋体"/>
                <w:highlight w:val="none"/>
              </w:rPr>
            </w:pPr>
            <w:r>
              <w:rPr>
                <w:rFonts w:hint="eastAsia" w:ascii="宋体" w:hAnsi="宋体" w:cs="宋体"/>
                <w:highlight w:val="none"/>
              </w:rPr>
              <w:t>质疑渠道</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302C38A">
            <w:pPr>
              <w:spacing w:line="360" w:lineRule="auto"/>
              <w:ind w:firstLine="420" w:firstLineChars="200"/>
              <w:rPr>
                <w:rFonts w:ascii="宋体" w:hAnsi="宋体" w:cs="宋体"/>
                <w:highlight w:val="none"/>
              </w:rPr>
            </w:pPr>
            <w:r>
              <w:rPr>
                <w:rFonts w:hint="eastAsia" w:ascii="宋体" w:hAnsi="宋体" w:cs="宋体"/>
                <w:highlight w:val="none"/>
              </w:rPr>
              <w:t>台州市智慧招采云平台（https://tz.etrading.cn/）。</w:t>
            </w:r>
          </w:p>
        </w:tc>
      </w:tr>
      <w:tr w14:paraId="0F20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A4E637">
            <w:pPr>
              <w:spacing w:line="360" w:lineRule="auto"/>
              <w:jc w:val="center"/>
              <w:rPr>
                <w:rFonts w:ascii="宋体" w:hAnsi="宋体" w:cs="宋体"/>
                <w:highlight w:val="none"/>
              </w:rPr>
            </w:pPr>
            <w:r>
              <w:rPr>
                <w:rFonts w:hint="eastAsia" w:ascii="宋体" w:hAnsi="宋体" w:cs="宋体"/>
                <w:highlight w:val="none"/>
              </w:rPr>
              <w:t>9</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7C5E85A">
            <w:pPr>
              <w:spacing w:line="360" w:lineRule="auto"/>
              <w:jc w:val="center"/>
              <w:rPr>
                <w:rFonts w:ascii="宋体" w:hAnsi="宋体" w:cs="宋体"/>
                <w:highlight w:val="none"/>
              </w:rPr>
            </w:pPr>
            <w:r>
              <w:rPr>
                <w:rFonts w:hint="eastAsia" w:ascii="宋体" w:hAnsi="宋体" w:cs="宋体"/>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66AA1561">
            <w:pPr>
              <w:spacing w:line="360" w:lineRule="auto"/>
              <w:ind w:firstLine="420" w:firstLineChars="200"/>
              <w:rPr>
                <w:rFonts w:ascii="宋体" w:hAnsi="宋体" w:cs="宋体"/>
                <w:highlight w:val="none"/>
              </w:rPr>
            </w:pPr>
            <w:r>
              <w:rPr>
                <w:rFonts w:hint="eastAsia" w:ascii="宋体" w:hAnsi="宋体" w:cs="宋体"/>
                <w:highlight w:val="none"/>
                <w:lang w:val="zh-CN"/>
              </w:rPr>
              <w:t>带“</w:t>
            </w:r>
            <w:r>
              <w:rPr>
                <w:rFonts w:hint="eastAsia" w:ascii="宋体" w:hAnsi="宋体" w:cs="宋体"/>
                <w:highlight w:val="none"/>
              </w:rPr>
              <w:t>▲”的条款是实质性条款，投标文件须作出实质性响应，否则作无效投标处理。</w:t>
            </w:r>
          </w:p>
        </w:tc>
      </w:tr>
      <w:tr w14:paraId="6CF5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E60239">
            <w:pPr>
              <w:spacing w:line="360" w:lineRule="auto"/>
              <w:jc w:val="center"/>
              <w:rPr>
                <w:rFonts w:ascii="宋体" w:hAnsi="宋体" w:cs="宋体"/>
                <w:highlight w:val="none"/>
              </w:rPr>
            </w:pPr>
            <w:r>
              <w:rPr>
                <w:rFonts w:hint="eastAsia" w:ascii="宋体" w:hAnsi="宋体" w:cs="宋体"/>
                <w:highlight w:val="none"/>
              </w:rPr>
              <w:t>10</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6BF488F">
            <w:pPr>
              <w:spacing w:line="360" w:lineRule="auto"/>
              <w:jc w:val="center"/>
              <w:rPr>
                <w:rFonts w:ascii="宋体" w:hAnsi="宋体" w:cs="宋体"/>
                <w:highlight w:val="none"/>
              </w:rPr>
            </w:pPr>
            <w:r>
              <w:rPr>
                <w:rFonts w:hint="eastAsia" w:ascii="宋体" w:hAnsi="宋体" w:cs="宋体"/>
                <w:highlight w:val="none"/>
              </w:rPr>
              <w:t>主要性能参数</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52839F4D">
            <w:pPr>
              <w:spacing w:line="360" w:lineRule="auto"/>
              <w:ind w:firstLine="420" w:firstLineChars="200"/>
              <w:rPr>
                <w:rFonts w:ascii="宋体" w:hAnsi="宋体" w:cs="宋体"/>
                <w:highlight w:val="none"/>
              </w:rPr>
            </w:pPr>
            <w:r>
              <w:rPr>
                <w:rFonts w:hint="eastAsia" w:ascii="宋体" w:hAnsi="宋体" w:cs="宋体"/>
                <w:highlight w:val="none"/>
              </w:rPr>
              <w:t>带“★”的条款是主要性能参数。</w:t>
            </w:r>
          </w:p>
        </w:tc>
      </w:tr>
      <w:tr w14:paraId="2C9F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69A16F">
            <w:pPr>
              <w:spacing w:line="360" w:lineRule="auto"/>
              <w:jc w:val="center"/>
              <w:rPr>
                <w:rFonts w:ascii="宋体" w:hAnsi="宋体" w:cs="宋体"/>
                <w:highlight w:val="none"/>
              </w:rPr>
            </w:pPr>
            <w:r>
              <w:rPr>
                <w:rFonts w:hint="eastAsia" w:ascii="宋体" w:hAnsi="宋体" w:cs="宋体"/>
                <w:highlight w:val="none"/>
              </w:rPr>
              <w:t>11</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39A1C127">
            <w:pPr>
              <w:spacing w:line="360" w:lineRule="auto"/>
              <w:jc w:val="center"/>
              <w:rPr>
                <w:rFonts w:ascii="宋体" w:hAnsi="宋体" w:cs="宋体"/>
                <w:highlight w:val="none"/>
              </w:rPr>
            </w:pPr>
            <w:r>
              <w:rPr>
                <w:rFonts w:hint="eastAsia" w:ascii="宋体" w:hAnsi="宋体" w:cs="宋体"/>
                <w:highlight w:val="none"/>
              </w:rPr>
              <w:t>书面形式</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38F7D4C8">
            <w:pPr>
              <w:spacing w:line="360" w:lineRule="auto"/>
              <w:ind w:firstLine="420" w:firstLineChars="200"/>
              <w:rPr>
                <w:rFonts w:ascii="宋体" w:hAnsi="宋体" w:cs="宋体"/>
                <w:highlight w:val="none"/>
              </w:rPr>
            </w:pPr>
            <w:r>
              <w:rPr>
                <w:rFonts w:hint="eastAsia" w:ascii="宋体" w:hAnsi="宋体" w:cs="宋体"/>
                <w:highlight w:val="none"/>
              </w:rPr>
              <w:t>包括电子邮件、信函、传真。</w:t>
            </w:r>
          </w:p>
        </w:tc>
      </w:tr>
      <w:tr w14:paraId="1664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880829">
            <w:pPr>
              <w:spacing w:line="360" w:lineRule="auto"/>
              <w:jc w:val="center"/>
              <w:rPr>
                <w:rFonts w:ascii="宋体" w:hAnsi="宋体" w:cs="宋体"/>
                <w:highlight w:val="none"/>
              </w:rPr>
            </w:pPr>
            <w:r>
              <w:rPr>
                <w:rFonts w:hint="eastAsia" w:ascii="宋体" w:hAnsi="宋体" w:cs="宋体"/>
                <w:highlight w:val="none"/>
              </w:rPr>
              <w:t>12</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05D80317">
            <w:pPr>
              <w:spacing w:line="360" w:lineRule="auto"/>
              <w:jc w:val="center"/>
              <w:rPr>
                <w:rFonts w:ascii="宋体" w:hAnsi="宋体" w:cs="宋体"/>
                <w:highlight w:val="none"/>
              </w:rPr>
            </w:pPr>
            <w:r>
              <w:rPr>
                <w:rFonts w:hint="eastAsia" w:ascii="宋体" w:hAnsi="宋体" w:cs="宋体"/>
                <w:highlight w:val="none"/>
              </w:rPr>
              <w:t>解释权</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6B598A5C">
            <w:pPr>
              <w:spacing w:line="360" w:lineRule="auto"/>
              <w:ind w:firstLine="420" w:firstLineChars="200"/>
              <w:rPr>
                <w:rFonts w:ascii="宋体" w:hAnsi="宋体" w:cs="宋体"/>
                <w:highlight w:val="none"/>
              </w:rPr>
            </w:pPr>
            <w:r>
              <w:rPr>
                <w:rFonts w:hint="eastAsia" w:ascii="宋体" w:hAnsi="宋体" w:cs="宋体"/>
                <w:highlight w:val="none"/>
              </w:rPr>
              <w:t>本招标文件解释权属于采购人和采购组织机构。</w:t>
            </w:r>
          </w:p>
        </w:tc>
      </w:tr>
      <w:tr w14:paraId="330B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7B48AC">
            <w:pPr>
              <w:spacing w:line="360" w:lineRule="auto"/>
              <w:jc w:val="center"/>
              <w:rPr>
                <w:rFonts w:ascii="宋体" w:hAnsi="宋体" w:cs="宋体"/>
                <w:highlight w:val="none"/>
              </w:rPr>
            </w:pPr>
            <w:r>
              <w:rPr>
                <w:rFonts w:hint="eastAsia" w:ascii="宋体" w:hAnsi="宋体" w:cs="宋体"/>
                <w:highlight w:val="none"/>
              </w:rPr>
              <w:t>13</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0608655C">
            <w:pPr>
              <w:spacing w:line="360" w:lineRule="auto"/>
              <w:jc w:val="center"/>
              <w:rPr>
                <w:rFonts w:ascii="宋体" w:hAnsi="宋体" w:cs="宋体"/>
                <w:highlight w:val="none"/>
              </w:rPr>
            </w:pPr>
            <w:r>
              <w:rPr>
                <w:rFonts w:hint="eastAsia" w:ascii="宋体" w:hAnsi="宋体" w:cs="宋体"/>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07803DB7">
            <w:pPr>
              <w:spacing w:line="360" w:lineRule="auto"/>
              <w:rPr>
                <w:rFonts w:ascii="宋体" w:hAnsi="宋体" w:cs="宋体"/>
                <w:highlight w:val="none"/>
              </w:rPr>
            </w:pPr>
            <w:r>
              <w:rPr>
                <w:rFonts w:hint="eastAsia" w:ascii="宋体" w:hAnsi="宋体" w:cs="宋体"/>
                <w:highlight w:val="none"/>
              </w:rPr>
              <w:t>本项目投标应以结算率报价；</w:t>
            </w:r>
          </w:p>
          <w:p w14:paraId="7F51B26A">
            <w:pPr>
              <w:spacing w:line="360" w:lineRule="auto"/>
              <w:rPr>
                <w:rFonts w:ascii="宋体" w:hAnsi="宋体" w:cs="宋体"/>
                <w:highlight w:val="none"/>
              </w:rPr>
            </w:pPr>
            <w:r>
              <w:rPr>
                <w:rFonts w:hint="eastAsia" w:ascii="宋体" w:hAnsi="宋体" w:cs="宋体"/>
                <w:highlight w:val="none"/>
              </w:rPr>
              <w:t>不论投标结果如何，投标人均应自行承担所有与投标有关的全部费用；开标前投标单位可随时下载招标文件，招标文件工本费</w:t>
            </w:r>
            <w:r>
              <w:rPr>
                <w:rFonts w:hint="eastAsia" w:ascii="宋体" w:hAnsi="宋体" w:cs="宋体"/>
                <w:highlight w:val="none"/>
                <w:u w:val="single"/>
              </w:rPr>
              <w:t>300</w:t>
            </w:r>
            <w:r>
              <w:rPr>
                <w:rFonts w:hint="eastAsia" w:ascii="宋体" w:hAnsi="宋体" w:cs="宋体"/>
                <w:highlight w:val="none"/>
              </w:rPr>
              <w:t>元，由招标代理机构收取。</w:t>
            </w:r>
          </w:p>
          <w:p w14:paraId="1ECE5DAA">
            <w:pPr>
              <w:spacing w:line="360" w:lineRule="auto"/>
              <w:rPr>
                <w:rFonts w:ascii="宋体" w:hAnsi="宋体" w:cs="宋体"/>
                <w:highlight w:val="none"/>
              </w:rPr>
            </w:pPr>
            <w:r>
              <w:rPr>
                <w:rFonts w:hint="eastAsia" w:ascii="宋体" w:hAnsi="宋体" w:cs="宋体"/>
                <w:highlight w:val="none"/>
              </w:rPr>
              <w:t>本采购代理机构参照如下招标代理收费标准的100%记取，以</w:t>
            </w:r>
            <w:r>
              <w:rPr>
                <w:rFonts w:hint="eastAsia" w:ascii="宋体" w:hAnsi="宋体" w:cs="宋体"/>
                <w:highlight w:val="none"/>
                <w:lang w:val="en-US" w:eastAsia="zh-CN"/>
              </w:rPr>
              <w:t>预算</w:t>
            </w:r>
            <w:r>
              <w:rPr>
                <w:rFonts w:hint="eastAsia" w:ascii="宋体" w:hAnsi="宋体" w:cs="宋体"/>
                <w:highlight w:val="none"/>
              </w:rPr>
              <w:t>金额为取费基数，向中标人收取招（不足6000元每个按6000元每个收取）。请各投标人报价时综合考虑。</w:t>
            </w:r>
          </w:p>
          <w:p w14:paraId="069A7075">
            <w:pPr>
              <w:spacing w:line="360" w:lineRule="auto"/>
              <w:rPr>
                <w:rFonts w:ascii="宋体" w:hAnsi="宋体" w:cs="宋体"/>
                <w:highlight w:val="none"/>
              </w:rPr>
            </w:pPr>
            <w:r>
              <w:rPr>
                <w:rFonts w:hint="eastAsia" w:ascii="宋体" w:hAnsi="宋体" w:cs="宋体"/>
                <w:highlight w:val="none"/>
              </w:rPr>
              <w:t>招标代理收费标准（采取差额累进计算方式）：</w:t>
            </w:r>
          </w:p>
          <w:tbl>
            <w:tblPr>
              <w:tblStyle w:val="24"/>
              <w:tblpPr w:leftFromText="180" w:rightFromText="180" w:vertAnchor="text" w:horzAnchor="margin" w:tblpX="1" w:tblpY="213"/>
              <w:tblW w:w="6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1321"/>
              <w:gridCol w:w="1321"/>
              <w:gridCol w:w="1321"/>
              <w:gridCol w:w="277"/>
            </w:tblGrid>
            <w:tr w14:paraId="2640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08" w:type="dxa"/>
                  <w:tcBorders>
                    <w:top w:val="single" w:color="auto" w:sz="4" w:space="0"/>
                    <w:left w:val="single" w:color="auto" w:sz="4" w:space="0"/>
                    <w:bottom w:val="single" w:color="auto" w:sz="4" w:space="0"/>
                    <w:right w:val="single" w:color="auto" w:sz="4" w:space="0"/>
                  </w:tcBorders>
                  <w:vAlign w:val="center"/>
                </w:tcPr>
                <w:p w14:paraId="2A627B5B">
                  <w:pPr>
                    <w:spacing w:line="360" w:lineRule="auto"/>
                    <w:jc w:val="center"/>
                    <w:rPr>
                      <w:rFonts w:ascii="宋体" w:hAnsi="宋体" w:cs="宋体"/>
                      <w:highlight w:val="none"/>
                    </w:rPr>
                  </w:pPr>
                  <w:r>
                    <w:rPr>
                      <w:rFonts w:hint="eastAsia" w:ascii="宋体" w:hAnsi="宋体" w:cs="宋体"/>
                      <w:highlight w:val="none"/>
                    </w:rPr>
                    <w:t>中标金额(万元)</w:t>
                  </w:r>
                </w:p>
              </w:tc>
              <w:tc>
                <w:tcPr>
                  <w:tcW w:w="1321" w:type="dxa"/>
                  <w:tcBorders>
                    <w:top w:val="single" w:color="auto" w:sz="4" w:space="0"/>
                    <w:left w:val="single" w:color="auto" w:sz="4" w:space="0"/>
                    <w:bottom w:val="single" w:color="auto" w:sz="4" w:space="0"/>
                    <w:right w:val="single" w:color="auto" w:sz="4" w:space="0"/>
                  </w:tcBorders>
                  <w:vAlign w:val="center"/>
                </w:tcPr>
                <w:p w14:paraId="26E027DA">
                  <w:pPr>
                    <w:spacing w:line="360" w:lineRule="auto"/>
                    <w:jc w:val="center"/>
                    <w:rPr>
                      <w:rFonts w:ascii="宋体" w:hAnsi="宋体" w:cs="宋体"/>
                      <w:highlight w:val="none"/>
                    </w:rPr>
                  </w:pPr>
                  <w:r>
                    <w:rPr>
                      <w:rFonts w:hint="eastAsia" w:ascii="宋体" w:hAnsi="宋体" w:cs="宋体"/>
                      <w:highlight w:val="none"/>
                    </w:rPr>
                    <w:t>货物招标</w:t>
                  </w:r>
                </w:p>
              </w:tc>
              <w:tc>
                <w:tcPr>
                  <w:tcW w:w="1321" w:type="dxa"/>
                  <w:tcBorders>
                    <w:top w:val="single" w:color="auto" w:sz="4" w:space="0"/>
                    <w:left w:val="single" w:color="auto" w:sz="4" w:space="0"/>
                    <w:bottom w:val="single" w:color="auto" w:sz="4" w:space="0"/>
                    <w:right w:val="single" w:color="auto" w:sz="4" w:space="0"/>
                  </w:tcBorders>
                  <w:vAlign w:val="center"/>
                </w:tcPr>
                <w:p w14:paraId="7B3EDE23">
                  <w:pPr>
                    <w:spacing w:line="360" w:lineRule="auto"/>
                    <w:jc w:val="center"/>
                    <w:rPr>
                      <w:rFonts w:ascii="宋体" w:hAnsi="宋体" w:cs="宋体"/>
                      <w:highlight w:val="none"/>
                    </w:rPr>
                  </w:pPr>
                  <w:r>
                    <w:rPr>
                      <w:rFonts w:hint="eastAsia" w:ascii="宋体" w:hAnsi="宋体" w:cs="宋体"/>
                      <w:highlight w:val="none"/>
                    </w:rPr>
                    <w:t>服务招标</w:t>
                  </w:r>
                </w:p>
              </w:tc>
              <w:tc>
                <w:tcPr>
                  <w:tcW w:w="1321" w:type="dxa"/>
                  <w:tcBorders>
                    <w:top w:val="single" w:color="auto" w:sz="4" w:space="0"/>
                    <w:left w:val="single" w:color="auto" w:sz="4" w:space="0"/>
                    <w:bottom w:val="single" w:color="auto" w:sz="4" w:space="0"/>
                    <w:right w:val="single" w:color="auto" w:sz="4" w:space="0"/>
                  </w:tcBorders>
                  <w:vAlign w:val="center"/>
                </w:tcPr>
                <w:p w14:paraId="55D17A6F">
                  <w:pPr>
                    <w:spacing w:line="360" w:lineRule="auto"/>
                    <w:jc w:val="center"/>
                    <w:rPr>
                      <w:rFonts w:ascii="宋体" w:hAnsi="宋体" w:cs="宋体"/>
                      <w:highlight w:val="none"/>
                    </w:rPr>
                  </w:pPr>
                  <w:r>
                    <w:rPr>
                      <w:rFonts w:hint="eastAsia" w:ascii="宋体" w:hAnsi="宋体" w:cs="宋体"/>
                      <w:highlight w:val="none"/>
                    </w:rPr>
                    <w:t>工程招标</w:t>
                  </w:r>
                </w:p>
              </w:tc>
              <w:tc>
                <w:tcPr>
                  <w:tcW w:w="277" w:type="dxa"/>
                  <w:tcBorders>
                    <w:top w:val="single" w:color="auto" w:sz="4" w:space="0"/>
                    <w:left w:val="single" w:color="auto" w:sz="4" w:space="0"/>
                    <w:bottom w:val="single" w:color="auto" w:sz="4" w:space="0"/>
                    <w:right w:val="single" w:color="auto" w:sz="4" w:space="0"/>
                  </w:tcBorders>
                  <w:vAlign w:val="center"/>
                </w:tcPr>
                <w:p w14:paraId="2E3B4F75">
                  <w:pPr>
                    <w:spacing w:line="360" w:lineRule="auto"/>
                    <w:jc w:val="center"/>
                    <w:rPr>
                      <w:rFonts w:ascii="宋体" w:hAnsi="宋体" w:cs="宋体"/>
                      <w:highlight w:val="none"/>
                    </w:rPr>
                  </w:pPr>
                </w:p>
              </w:tc>
            </w:tr>
            <w:tr w14:paraId="242A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108" w:type="dxa"/>
                  <w:tcBorders>
                    <w:top w:val="single" w:color="auto" w:sz="4" w:space="0"/>
                    <w:left w:val="single" w:color="auto" w:sz="4" w:space="0"/>
                    <w:bottom w:val="single" w:color="auto" w:sz="4" w:space="0"/>
                    <w:right w:val="single" w:color="auto" w:sz="4" w:space="0"/>
                  </w:tcBorders>
                  <w:vAlign w:val="center"/>
                </w:tcPr>
                <w:p w14:paraId="1AC5342F">
                  <w:pPr>
                    <w:spacing w:line="360" w:lineRule="auto"/>
                    <w:jc w:val="center"/>
                    <w:rPr>
                      <w:rFonts w:ascii="宋体" w:hAnsi="宋体" w:cs="宋体"/>
                      <w:highlight w:val="none"/>
                    </w:rPr>
                  </w:pPr>
                  <w:r>
                    <w:rPr>
                      <w:rFonts w:hint="eastAsia" w:ascii="宋体" w:hAnsi="宋体" w:cs="宋体"/>
                      <w:highlight w:val="none"/>
                    </w:rPr>
                    <w:t>100以下</w:t>
                  </w:r>
                </w:p>
              </w:tc>
              <w:tc>
                <w:tcPr>
                  <w:tcW w:w="1321" w:type="dxa"/>
                  <w:tcBorders>
                    <w:top w:val="single" w:color="auto" w:sz="4" w:space="0"/>
                    <w:left w:val="single" w:color="auto" w:sz="4" w:space="0"/>
                    <w:bottom w:val="single" w:color="auto" w:sz="4" w:space="0"/>
                    <w:right w:val="single" w:color="auto" w:sz="4" w:space="0"/>
                  </w:tcBorders>
                  <w:vAlign w:val="center"/>
                </w:tcPr>
                <w:p w14:paraId="1F424853">
                  <w:pPr>
                    <w:spacing w:line="360" w:lineRule="auto"/>
                    <w:jc w:val="center"/>
                    <w:rPr>
                      <w:rFonts w:ascii="宋体" w:hAnsi="宋体" w:cs="宋体"/>
                      <w:highlight w:val="none"/>
                    </w:rPr>
                  </w:pPr>
                  <w:r>
                    <w:rPr>
                      <w:rFonts w:hint="eastAsia" w:ascii="宋体" w:hAnsi="宋体" w:cs="宋体"/>
                      <w:highlight w:val="none"/>
                    </w:rPr>
                    <w:t>1.5%</w:t>
                  </w:r>
                </w:p>
              </w:tc>
              <w:tc>
                <w:tcPr>
                  <w:tcW w:w="1321" w:type="dxa"/>
                  <w:tcBorders>
                    <w:top w:val="single" w:color="auto" w:sz="4" w:space="0"/>
                    <w:left w:val="single" w:color="auto" w:sz="4" w:space="0"/>
                    <w:bottom w:val="single" w:color="auto" w:sz="4" w:space="0"/>
                    <w:right w:val="single" w:color="auto" w:sz="4" w:space="0"/>
                  </w:tcBorders>
                  <w:vAlign w:val="center"/>
                </w:tcPr>
                <w:p w14:paraId="49917159">
                  <w:pPr>
                    <w:spacing w:line="360" w:lineRule="auto"/>
                    <w:jc w:val="center"/>
                    <w:rPr>
                      <w:rFonts w:ascii="宋体" w:hAnsi="宋体" w:cs="宋体"/>
                      <w:highlight w:val="none"/>
                    </w:rPr>
                  </w:pPr>
                  <w:r>
                    <w:rPr>
                      <w:rFonts w:hint="eastAsia" w:ascii="宋体" w:hAnsi="宋体" w:cs="宋体"/>
                      <w:highlight w:val="none"/>
                    </w:rPr>
                    <w:t>1.5%</w:t>
                  </w:r>
                </w:p>
              </w:tc>
              <w:tc>
                <w:tcPr>
                  <w:tcW w:w="1321" w:type="dxa"/>
                  <w:tcBorders>
                    <w:top w:val="single" w:color="auto" w:sz="4" w:space="0"/>
                    <w:left w:val="single" w:color="auto" w:sz="4" w:space="0"/>
                    <w:bottom w:val="single" w:color="auto" w:sz="4" w:space="0"/>
                    <w:right w:val="single" w:color="auto" w:sz="4" w:space="0"/>
                  </w:tcBorders>
                  <w:vAlign w:val="center"/>
                </w:tcPr>
                <w:p w14:paraId="5CB3E793">
                  <w:pPr>
                    <w:spacing w:line="360" w:lineRule="auto"/>
                    <w:jc w:val="center"/>
                    <w:rPr>
                      <w:rFonts w:ascii="宋体" w:hAnsi="宋体" w:cs="宋体"/>
                      <w:highlight w:val="none"/>
                    </w:rPr>
                  </w:pPr>
                  <w:r>
                    <w:rPr>
                      <w:rFonts w:hint="eastAsia" w:ascii="宋体" w:hAnsi="宋体" w:cs="宋体"/>
                      <w:highlight w:val="none"/>
                    </w:rPr>
                    <w:t>1.0%</w:t>
                  </w:r>
                </w:p>
              </w:tc>
              <w:tc>
                <w:tcPr>
                  <w:tcW w:w="277" w:type="dxa"/>
                  <w:tcBorders>
                    <w:top w:val="single" w:color="auto" w:sz="4" w:space="0"/>
                    <w:left w:val="single" w:color="auto" w:sz="4" w:space="0"/>
                    <w:bottom w:val="single" w:color="auto" w:sz="4" w:space="0"/>
                    <w:right w:val="single" w:color="auto" w:sz="4" w:space="0"/>
                  </w:tcBorders>
                  <w:vAlign w:val="center"/>
                </w:tcPr>
                <w:p w14:paraId="30FADB99">
                  <w:pPr>
                    <w:spacing w:line="360" w:lineRule="auto"/>
                    <w:jc w:val="center"/>
                    <w:rPr>
                      <w:rFonts w:ascii="宋体" w:hAnsi="宋体" w:cs="宋体"/>
                      <w:highlight w:val="none"/>
                    </w:rPr>
                  </w:pPr>
                </w:p>
              </w:tc>
            </w:tr>
            <w:tr w14:paraId="5FD0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08" w:type="dxa"/>
                  <w:tcBorders>
                    <w:top w:val="single" w:color="auto" w:sz="4" w:space="0"/>
                    <w:left w:val="single" w:color="auto" w:sz="4" w:space="0"/>
                    <w:bottom w:val="single" w:color="auto" w:sz="4" w:space="0"/>
                    <w:right w:val="single" w:color="auto" w:sz="4" w:space="0"/>
                  </w:tcBorders>
                  <w:vAlign w:val="center"/>
                </w:tcPr>
                <w:p w14:paraId="46D9DC58">
                  <w:pPr>
                    <w:spacing w:line="360" w:lineRule="auto"/>
                    <w:jc w:val="center"/>
                    <w:rPr>
                      <w:rFonts w:ascii="宋体" w:hAnsi="宋体" w:cs="宋体"/>
                      <w:highlight w:val="none"/>
                    </w:rPr>
                  </w:pPr>
                  <w:r>
                    <w:rPr>
                      <w:rFonts w:hint="eastAsia" w:ascii="宋体" w:hAnsi="宋体" w:cs="宋体"/>
                      <w:highlight w:val="none"/>
                    </w:rPr>
                    <w:t>100—500</w:t>
                  </w:r>
                </w:p>
              </w:tc>
              <w:tc>
                <w:tcPr>
                  <w:tcW w:w="1321" w:type="dxa"/>
                  <w:tcBorders>
                    <w:top w:val="single" w:color="auto" w:sz="4" w:space="0"/>
                    <w:left w:val="single" w:color="auto" w:sz="4" w:space="0"/>
                    <w:bottom w:val="single" w:color="auto" w:sz="4" w:space="0"/>
                    <w:right w:val="single" w:color="auto" w:sz="4" w:space="0"/>
                  </w:tcBorders>
                  <w:vAlign w:val="center"/>
                </w:tcPr>
                <w:p w14:paraId="1401CF45">
                  <w:pPr>
                    <w:spacing w:line="360" w:lineRule="auto"/>
                    <w:jc w:val="center"/>
                    <w:rPr>
                      <w:rFonts w:ascii="宋体" w:hAnsi="宋体" w:cs="宋体"/>
                      <w:highlight w:val="none"/>
                    </w:rPr>
                  </w:pPr>
                  <w:r>
                    <w:rPr>
                      <w:rFonts w:hint="eastAsia" w:ascii="宋体" w:hAnsi="宋体" w:cs="宋体"/>
                      <w:highlight w:val="none"/>
                    </w:rPr>
                    <w:t>1.1%</w:t>
                  </w:r>
                </w:p>
              </w:tc>
              <w:tc>
                <w:tcPr>
                  <w:tcW w:w="1321" w:type="dxa"/>
                  <w:tcBorders>
                    <w:top w:val="single" w:color="auto" w:sz="4" w:space="0"/>
                    <w:left w:val="single" w:color="auto" w:sz="4" w:space="0"/>
                    <w:bottom w:val="single" w:color="auto" w:sz="4" w:space="0"/>
                    <w:right w:val="single" w:color="auto" w:sz="4" w:space="0"/>
                  </w:tcBorders>
                  <w:vAlign w:val="center"/>
                </w:tcPr>
                <w:p w14:paraId="3DAFAE55">
                  <w:pPr>
                    <w:spacing w:line="360" w:lineRule="auto"/>
                    <w:jc w:val="center"/>
                    <w:rPr>
                      <w:rFonts w:ascii="宋体" w:hAnsi="宋体" w:cs="宋体"/>
                      <w:highlight w:val="none"/>
                    </w:rPr>
                  </w:pPr>
                  <w:r>
                    <w:rPr>
                      <w:rFonts w:hint="eastAsia" w:ascii="宋体" w:hAnsi="宋体" w:cs="宋体"/>
                      <w:highlight w:val="none"/>
                    </w:rPr>
                    <w:t>0.8%</w:t>
                  </w:r>
                </w:p>
              </w:tc>
              <w:tc>
                <w:tcPr>
                  <w:tcW w:w="1321" w:type="dxa"/>
                  <w:tcBorders>
                    <w:top w:val="single" w:color="auto" w:sz="4" w:space="0"/>
                    <w:left w:val="single" w:color="auto" w:sz="4" w:space="0"/>
                    <w:bottom w:val="single" w:color="auto" w:sz="4" w:space="0"/>
                    <w:right w:val="single" w:color="auto" w:sz="4" w:space="0"/>
                  </w:tcBorders>
                  <w:vAlign w:val="center"/>
                </w:tcPr>
                <w:p w14:paraId="37B64061">
                  <w:pPr>
                    <w:spacing w:line="360" w:lineRule="auto"/>
                    <w:jc w:val="center"/>
                    <w:rPr>
                      <w:rFonts w:ascii="宋体" w:hAnsi="宋体" w:cs="宋体"/>
                      <w:highlight w:val="none"/>
                    </w:rPr>
                  </w:pPr>
                  <w:r>
                    <w:rPr>
                      <w:rFonts w:hint="eastAsia" w:ascii="宋体" w:hAnsi="宋体" w:cs="宋体"/>
                      <w:highlight w:val="none"/>
                    </w:rPr>
                    <w:t>0.7%</w:t>
                  </w:r>
                </w:p>
              </w:tc>
              <w:tc>
                <w:tcPr>
                  <w:tcW w:w="277" w:type="dxa"/>
                  <w:tcBorders>
                    <w:top w:val="single" w:color="auto" w:sz="4" w:space="0"/>
                    <w:left w:val="single" w:color="auto" w:sz="4" w:space="0"/>
                    <w:bottom w:val="single" w:color="auto" w:sz="4" w:space="0"/>
                    <w:right w:val="single" w:color="auto" w:sz="4" w:space="0"/>
                  </w:tcBorders>
                  <w:vAlign w:val="center"/>
                </w:tcPr>
                <w:p w14:paraId="342368D0">
                  <w:pPr>
                    <w:spacing w:line="360" w:lineRule="auto"/>
                    <w:jc w:val="center"/>
                    <w:rPr>
                      <w:rFonts w:ascii="宋体" w:hAnsi="宋体" w:cs="宋体"/>
                      <w:highlight w:val="none"/>
                    </w:rPr>
                  </w:pPr>
                </w:p>
              </w:tc>
            </w:tr>
            <w:tr w14:paraId="00A3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08" w:type="dxa"/>
                  <w:tcBorders>
                    <w:top w:val="single" w:color="auto" w:sz="4" w:space="0"/>
                    <w:left w:val="single" w:color="auto" w:sz="4" w:space="0"/>
                    <w:bottom w:val="single" w:color="auto" w:sz="4" w:space="0"/>
                    <w:right w:val="single" w:color="auto" w:sz="4" w:space="0"/>
                  </w:tcBorders>
                  <w:vAlign w:val="center"/>
                </w:tcPr>
                <w:p w14:paraId="597FABC1">
                  <w:pPr>
                    <w:spacing w:line="360" w:lineRule="auto"/>
                    <w:jc w:val="center"/>
                    <w:rPr>
                      <w:rFonts w:ascii="宋体" w:hAnsi="宋体" w:cs="宋体"/>
                      <w:highlight w:val="none"/>
                    </w:rPr>
                  </w:pPr>
                  <w:r>
                    <w:rPr>
                      <w:rFonts w:hint="eastAsia" w:ascii="宋体" w:hAnsi="宋体" w:cs="宋体"/>
                      <w:highlight w:val="none"/>
                    </w:rPr>
                    <w:t>500—1000</w:t>
                  </w:r>
                </w:p>
              </w:tc>
              <w:tc>
                <w:tcPr>
                  <w:tcW w:w="1321" w:type="dxa"/>
                  <w:tcBorders>
                    <w:top w:val="single" w:color="auto" w:sz="4" w:space="0"/>
                    <w:left w:val="single" w:color="auto" w:sz="4" w:space="0"/>
                    <w:bottom w:val="single" w:color="auto" w:sz="4" w:space="0"/>
                    <w:right w:val="single" w:color="auto" w:sz="4" w:space="0"/>
                  </w:tcBorders>
                  <w:vAlign w:val="center"/>
                </w:tcPr>
                <w:p w14:paraId="0ED48653">
                  <w:pPr>
                    <w:spacing w:line="360" w:lineRule="auto"/>
                    <w:jc w:val="center"/>
                    <w:rPr>
                      <w:rFonts w:ascii="宋体" w:hAnsi="宋体" w:cs="宋体"/>
                      <w:highlight w:val="none"/>
                    </w:rPr>
                  </w:pPr>
                  <w:r>
                    <w:rPr>
                      <w:rFonts w:hint="eastAsia" w:ascii="宋体" w:hAnsi="宋体" w:cs="宋体"/>
                      <w:highlight w:val="none"/>
                    </w:rPr>
                    <w:t>0.8%</w:t>
                  </w:r>
                </w:p>
              </w:tc>
              <w:tc>
                <w:tcPr>
                  <w:tcW w:w="1321" w:type="dxa"/>
                  <w:tcBorders>
                    <w:top w:val="single" w:color="auto" w:sz="4" w:space="0"/>
                    <w:left w:val="single" w:color="auto" w:sz="4" w:space="0"/>
                    <w:bottom w:val="single" w:color="auto" w:sz="4" w:space="0"/>
                    <w:right w:val="single" w:color="auto" w:sz="4" w:space="0"/>
                  </w:tcBorders>
                  <w:vAlign w:val="center"/>
                </w:tcPr>
                <w:p w14:paraId="3655AA70">
                  <w:pPr>
                    <w:spacing w:line="360" w:lineRule="auto"/>
                    <w:jc w:val="center"/>
                    <w:rPr>
                      <w:rFonts w:ascii="宋体" w:hAnsi="宋体" w:cs="宋体"/>
                      <w:highlight w:val="none"/>
                    </w:rPr>
                  </w:pPr>
                  <w:r>
                    <w:rPr>
                      <w:rFonts w:hint="eastAsia" w:ascii="宋体" w:hAnsi="宋体" w:cs="宋体"/>
                      <w:highlight w:val="none"/>
                    </w:rPr>
                    <w:t>0.45%</w:t>
                  </w:r>
                </w:p>
              </w:tc>
              <w:tc>
                <w:tcPr>
                  <w:tcW w:w="1321" w:type="dxa"/>
                  <w:tcBorders>
                    <w:top w:val="single" w:color="auto" w:sz="4" w:space="0"/>
                    <w:left w:val="single" w:color="auto" w:sz="4" w:space="0"/>
                    <w:bottom w:val="single" w:color="auto" w:sz="4" w:space="0"/>
                    <w:right w:val="single" w:color="auto" w:sz="4" w:space="0"/>
                  </w:tcBorders>
                  <w:vAlign w:val="center"/>
                </w:tcPr>
                <w:p w14:paraId="089F4328">
                  <w:pPr>
                    <w:spacing w:line="360" w:lineRule="auto"/>
                    <w:jc w:val="center"/>
                    <w:rPr>
                      <w:rFonts w:ascii="宋体" w:hAnsi="宋体" w:cs="宋体"/>
                      <w:highlight w:val="none"/>
                    </w:rPr>
                  </w:pPr>
                  <w:r>
                    <w:rPr>
                      <w:rFonts w:hint="eastAsia" w:ascii="宋体" w:hAnsi="宋体" w:cs="宋体"/>
                      <w:highlight w:val="none"/>
                    </w:rPr>
                    <w:t>0.55%</w:t>
                  </w:r>
                </w:p>
              </w:tc>
              <w:tc>
                <w:tcPr>
                  <w:tcW w:w="277" w:type="dxa"/>
                  <w:tcBorders>
                    <w:top w:val="single" w:color="auto" w:sz="4" w:space="0"/>
                    <w:left w:val="single" w:color="auto" w:sz="4" w:space="0"/>
                    <w:bottom w:val="single" w:color="auto" w:sz="4" w:space="0"/>
                    <w:right w:val="single" w:color="auto" w:sz="4" w:space="0"/>
                  </w:tcBorders>
                  <w:vAlign w:val="center"/>
                </w:tcPr>
                <w:p w14:paraId="002FFF76">
                  <w:pPr>
                    <w:spacing w:line="360" w:lineRule="auto"/>
                    <w:jc w:val="center"/>
                    <w:rPr>
                      <w:rFonts w:ascii="宋体" w:hAnsi="宋体" w:cs="宋体"/>
                      <w:highlight w:val="none"/>
                    </w:rPr>
                  </w:pPr>
                </w:p>
              </w:tc>
            </w:tr>
            <w:tr w14:paraId="36EF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08" w:type="dxa"/>
                  <w:tcBorders>
                    <w:top w:val="single" w:color="auto" w:sz="4" w:space="0"/>
                    <w:left w:val="single" w:color="auto" w:sz="4" w:space="0"/>
                    <w:bottom w:val="single" w:color="auto" w:sz="4" w:space="0"/>
                    <w:right w:val="single" w:color="auto" w:sz="4" w:space="0"/>
                  </w:tcBorders>
                  <w:vAlign w:val="center"/>
                </w:tcPr>
                <w:p w14:paraId="44C5479D">
                  <w:pPr>
                    <w:spacing w:line="360" w:lineRule="auto"/>
                    <w:jc w:val="center"/>
                    <w:rPr>
                      <w:rFonts w:ascii="宋体" w:hAnsi="宋体" w:cs="宋体"/>
                      <w:highlight w:val="none"/>
                    </w:rPr>
                  </w:pPr>
                  <w:r>
                    <w:rPr>
                      <w:rFonts w:hint="eastAsia" w:ascii="宋体" w:hAnsi="宋体" w:cs="宋体"/>
                      <w:highlight w:val="none"/>
                    </w:rPr>
                    <w:t>1000—5000</w:t>
                  </w:r>
                </w:p>
              </w:tc>
              <w:tc>
                <w:tcPr>
                  <w:tcW w:w="1321" w:type="dxa"/>
                  <w:tcBorders>
                    <w:top w:val="single" w:color="auto" w:sz="4" w:space="0"/>
                    <w:left w:val="single" w:color="auto" w:sz="4" w:space="0"/>
                    <w:bottom w:val="single" w:color="auto" w:sz="4" w:space="0"/>
                    <w:right w:val="single" w:color="auto" w:sz="4" w:space="0"/>
                  </w:tcBorders>
                  <w:vAlign w:val="center"/>
                </w:tcPr>
                <w:p w14:paraId="5E27A7D8">
                  <w:pPr>
                    <w:spacing w:line="360" w:lineRule="auto"/>
                    <w:jc w:val="center"/>
                    <w:rPr>
                      <w:rFonts w:ascii="宋体" w:hAnsi="宋体" w:cs="宋体"/>
                      <w:highlight w:val="none"/>
                    </w:rPr>
                  </w:pPr>
                  <w:r>
                    <w:rPr>
                      <w:rFonts w:hint="eastAsia" w:ascii="宋体" w:hAnsi="宋体" w:cs="宋体"/>
                      <w:highlight w:val="none"/>
                    </w:rPr>
                    <w:t>0.5%</w:t>
                  </w:r>
                </w:p>
              </w:tc>
              <w:tc>
                <w:tcPr>
                  <w:tcW w:w="1321" w:type="dxa"/>
                  <w:tcBorders>
                    <w:top w:val="single" w:color="auto" w:sz="4" w:space="0"/>
                    <w:left w:val="single" w:color="auto" w:sz="4" w:space="0"/>
                    <w:bottom w:val="single" w:color="auto" w:sz="4" w:space="0"/>
                    <w:right w:val="single" w:color="auto" w:sz="4" w:space="0"/>
                  </w:tcBorders>
                  <w:vAlign w:val="center"/>
                </w:tcPr>
                <w:p w14:paraId="3F4E605D">
                  <w:pPr>
                    <w:spacing w:line="360" w:lineRule="auto"/>
                    <w:jc w:val="center"/>
                    <w:rPr>
                      <w:rFonts w:ascii="宋体" w:hAnsi="宋体" w:cs="宋体"/>
                      <w:highlight w:val="none"/>
                    </w:rPr>
                  </w:pPr>
                  <w:r>
                    <w:rPr>
                      <w:rFonts w:hint="eastAsia" w:ascii="宋体" w:hAnsi="宋体" w:cs="宋体"/>
                      <w:highlight w:val="none"/>
                    </w:rPr>
                    <w:t>0.25%</w:t>
                  </w:r>
                </w:p>
              </w:tc>
              <w:tc>
                <w:tcPr>
                  <w:tcW w:w="1321" w:type="dxa"/>
                  <w:tcBorders>
                    <w:top w:val="single" w:color="auto" w:sz="4" w:space="0"/>
                    <w:left w:val="single" w:color="auto" w:sz="4" w:space="0"/>
                    <w:bottom w:val="single" w:color="auto" w:sz="4" w:space="0"/>
                    <w:right w:val="single" w:color="auto" w:sz="4" w:space="0"/>
                  </w:tcBorders>
                  <w:vAlign w:val="center"/>
                </w:tcPr>
                <w:p w14:paraId="4A81397A">
                  <w:pPr>
                    <w:spacing w:line="360" w:lineRule="auto"/>
                    <w:jc w:val="center"/>
                    <w:rPr>
                      <w:rFonts w:ascii="宋体" w:hAnsi="宋体" w:cs="宋体"/>
                      <w:highlight w:val="none"/>
                    </w:rPr>
                  </w:pPr>
                  <w:r>
                    <w:rPr>
                      <w:rFonts w:hint="eastAsia" w:ascii="宋体" w:hAnsi="宋体" w:cs="宋体"/>
                      <w:highlight w:val="none"/>
                    </w:rPr>
                    <w:t>0.35%</w:t>
                  </w:r>
                </w:p>
              </w:tc>
              <w:tc>
                <w:tcPr>
                  <w:tcW w:w="277" w:type="dxa"/>
                  <w:tcBorders>
                    <w:top w:val="single" w:color="auto" w:sz="4" w:space="0"/>
                    <w:left w:val="single" w:color="auto" w:sz="4" w:space="0"/>
                    <w:bottom w:val="single" w:color="auto" w:sz="4" w:space="0"/>
                    <w:right w:val="single" w:color="auto" w:sz="4" w:space="0"/>
                  </w:tcBorders>
                  <w:vAlign w:val="center"/>
                </w:tcPr>
                <w:p w14:paraId="668C32D9">
                  <w:pPr>
                    <w:spacing w:line="360" w:lineRule="auto"/>
                    <w:jc w:val="center"/>
                    <w:rPr>
                      <w:rFonts w:ascii="宋体" w:hAnsi="宋体" w:cs="宋体"/>
                      <w:highlight w:val="none"/>
                    </w:rPr>
                  </w:pPr>
                </w:p>
              </w:tc>
            </w:tr>
            <w:tr w14:paraId="55A1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108" w:type="dxa"/>
                  <w:tcBorders>
                    <w:top w:val="single" w:color="auto" w:sz="4" w:space="0"/>
                    <w:left w:val="single" w:color="auto" w:sz="4" w:space="0"/>
                    <w:bottom w:val="single" w:color="auto" w:sz="4" w:space="0"/>
                    <w:right w:val="single" w:color="auto" w:sz="4" w:space="0"/>
                  </w:tcBorders>
                  <w:vAlign w:val="center"/>
                </w:tcPr>
                <w:p w14:paraId="1B222BE5">
                  <w:pPr>
                    <w:spacing w:line="360" w:lineRule="auto"/>
                    <w:jc w:val="center"/>
                    <w:rPr>
                      <w:rFonts w:ascii="宋体" w:hAnsi="宋体" w:cs="宋体"/>
                      <w:highlight w:val="none"/>
                    </w:rPr>
                  </w:pPr>
                  <w:r>
                    <w:rPr>
                      <w:rFonts w:hint="eastAsia" w:ascii="宋体" w:hAnsi="宋体" w:cs="宋体"/>
                      <w:highlight w:val="none"/>
                    </w:rPr>
                    <w:t>5000—10000</w:t>
                  </w:r>
                </w:p>
              </w:tc>
              <w:tc>
                <w:tcPr>
                  <w:tcW w:w="1321" w:type="dxa"/>
                  <w:tcBorders>
                    <w:top w:val="single" w:color="auto" w:sz="4" w:space="0"/>
                    <w:left w:val="single" w:color="auto" w:sz="4" w:space="0"/>
                    <w:bottom w:val="single" w:color="auto" w:sz="4" w:space="0"/>
                    <w:right w:val="single" w:color="auto" w:sz="4" w:space="0"/>
                  </w:tcBorders>
                  <w:vAlign w:val="center"/>
                </w:tcPr>
                <w:p w14:paraId="3BFF61B7">
                  <w:pPr>
                    <w:spacing w:line="360" w:lineRule="auto"/>
                    <w:jc w:val="center"/>
                    <w:rPr>
                      <w:rFonts w:ascii="宋体" w:hAnsi="宋体" w:cs="宋体"/>
                      <w:highlight w:val="none"/>
                    </w:rPr>
                  </w:pPr>
                  <w:r>
                    <w:rPr>
                      <w:rFonts w:hint="eastAsia" w:ascii="宋体" w:hAnsi="宋体" w:cs="宋体"/>
                      <w:highlight w:val="none"/>
                    </w:rPr>
                    <w:t>0.25%</w:t>
                  </w:r>
                </w:p>
              </w:tc>
              <w:tc>
                <w:tcPr>
                  <w:tcW w:w="1321" w:type="dxa"/>
                  <w:tcBorders>
                    <w:top w:val="single" w:color="auto" w:sz="4" w:space="0"/>
                    <w:left w:val="single" w:color="auto" w:sz="4" w:space="0"/>
                    <w:bottom w:val="single" w:color="auto" w:sz="4" w:space="0"/>
                    <w:right w:val="single" w:color="auto" w:sz="4" w:space="0"/>
                  </w:tcBorders>
                  <w:vAlign w:val="center"/>
                </w:tcPr>
                <w:p w14:paraId="11DBE4EF">
                  <w:pPr>
                    <w:spacing w:line="360" w:lineRule="auto"/>
                    <w:jc w:val="center"/>
                    <w:rPr>
                      <w:rFonts w:ascii="宋体" w:hAnsi="宋体" w:cs="宋体"/>
                      <w:highlight w:val="none"/>
                    </w:rPr>
                  </w:pPr>
                  <w:r>
                    <w:rPr>
                      <w:rFonts w:hint="eastAsia" w:ascii="宋体" w:hAnsi="宋体" w:cs="宋体"/>
                      <w:highlight w:val="none"/>
                    </w:rPr>
                    <w:t>0.1%</w:t>
                  </w:r>
                </w:p>
              </w:tc>
              <w:tc>
                <w:tcPr>
                  <w:tcW w:w="1321" w:type="dxa"/>
                  <w:tcBorders>
                    <w:top w:val="single" w:color="auto" w:sz="4" w:space="0"/>
                    <w:left w:val="single" w:color="auto" w:sz="4" w:space="0"/>
                    <w:bottom w:val="single" w:color="auto" w:sz="4" w:space="0"/>
                    <w:right w:val="single" w:color="auto" w:sz="4" w:space="0"/>
                  </w:tcBorders>
                  <w:vAlign w:val="center"/>
                </w:tcPr>
                <w:p w14:paraId="162D4E12">
                  <w:pPr>
                    <w:spacing w:line="360" w:lineRule="auto"/>
                    <w:jc w:val="center"/>
                    <w:rPr>
                      <w:rFonts w:ascii="宋体" w:hAnsi="宋体" w:cs="宋体"/>
                      <w:highlight w:val="none"/>
                    </w:rPr>
                  </w:pPr>
                  <w:r>
                    <w:rPr>
                      <w:rFonts w:hint="eastAsia" w:ascii="宋体" w:hAnsi="宋体" w:cs="宋体"/>
                      <w:highlight w:val="none"/>
                    </w:rPr>
                    <w:t>0.2%</w:t>
                  </w:r>
                </w:p>
              </w:tc>
              <w:tc>
                <w:tcPr>
                  <w:tcW w:w="277" w:type="dxa"/>
                  <w:tcBorders>
                    <w:top w:val="single" w:color="auto" w:sz="4" w:space="0"/>
                    <w:left w:val="single" w:color="auto" w:sz="4" w:space="0"/>
                    <w:bottom w:val="single" w:color="auto" w:sz="4" w:space="0"/>
                    <w:right w:val="single" w:color="auto" w:sz="4" w:space="0"/>
                  </w:tcBorders>
                  <w:vAlign w:val="center"/>
                </w:tcPr>
                <w:p w14:paraId="4B402BB2">
                  <w:pPr>
                    <w:spacing w:line="360" w:lineRule="auto"/>
                    <w:jc w:val="center"/>
                    <w:rPr>
                      <w:rFonts w:ascii="宋体" w:hAnsi="宋体" w:cs="宋体"/>
                      <w:highlight w:val="none"/>
                    </w:rPr>
                  </w:pPr>
                </w:p>
              </w:tc>
            </w:tr>
            <w:tr w14:paraId="4EC9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08" w:type="dxa"/>
                  <w:tcBorders>
                    <w:top w:val="single" w:color="auto" w:sz="4" w:space="0"/>
                    <w:left w:val="single" w:color="auto" w:sz="4" w:space="0"/>
                    <w:bottom w:val="single" w:color="auto" w:sz="4" w:space="0"/>
                    <w:right w:val="single" w:color="auto" w:sz="4" w:space="0"/>
                  </w:tcBorders>
                  <w:vAlign w:val="center"/>
                </w:tcPr>
                <w:p w14:paraId="68E89AFB">
                  <w:pPr>
                    <w:spacing w:line="360" w:lineRule="auto"/>
                    <w:jc w:val="center"/>
                    <w:rPr>
                      <w:rFonts w:ascii="宋体" w:hAnsi="宋体" w:cs="宋体"/>
                      <w:highlight w:val="none"/>
                    </w:rPr>
                  </w:pPr>
                  <w:r>
                    <w:rPr>
                      <w:rFonts w:hint="eastAsia" w:ascii="宋体" w:hAnsi="宋体" w:cs="宋体"/>
                      <w:highlight w:val="none"/>
                    </w:rPr>
                    <w:t>10000—100000</w:t>
                  </w:r>
                </w:p>
              </w:tc>
              <w:tc>
                <w:tcPr>
                  <w:tcW w:w="1321" w:type="dxa"/>
                  <w:tcBorders>
                    <w:top w:val="single" w:color="auto" w:sz="4" w:space="0"/>
                    <w:left w:val="single" w:color="auto" w:sz="4" w:space="0"/>
                    <w:bottom w:val="single" w:color="auto" w:sz="4" w:space="0"/>
                    <w:right w:val="single" w:color="auto" w:sz="4" w:space="0"/>
                  </w:tcBorders>
                  <w:vAlign w:val="center"/>
                </w:tcPr>
                <w:p w14:paraId="787DEC70">
                  <w:pPr>
                    <w:spacing w:line="360" w:lineRule="auto"/>
                    <w:jc w:val="center"/>
                    <w:rPr>
                      <w:rFonts w:ascii="宋体" w:hAnsi="宋体" w:cs="宋体"/>
                      <w:highlight w:val="none"/>
                    </w:rPr>
                  </w:pPr>
                  <w:r>
                    <w:rPr>
                      <w:rFonts w:hint="eastAsia" w:ascii="宋体" w:hAnsi="宋体" w:cs="宋体"/>
                      <w:highlight w:val="none"/>
                    </w:rPr>
                    <w:t>0.05%</w:t>
                  </w:r>
                </w:p>
              </w:tc>
              <w:tc>
                <w:tcPr>
                  <w:tcW w:w="1321" w:type="dxa"/>
                  <w:tcBorders>
                    <w:top w:val="single" w:color="auto" w:sz="4" w:space="0"/>
                    <w:left w:val="single" w:color="auto" w:sz="4" w:space="0"/>
                    <w:bottom w:val="single" w:color="auto" w:sz="4" w:space="0"/>
                    <w:right w:val="single" w:color="auto" w:sz="4" w:space="0"/>
                  </w:tcBorders>
                  <w:vAlign w:val="center"/>
                </w:tcPr>
                <w:p w14:paraId="1B89FB39">
                  <w:pPr>
                    <w:spacing w:line="360" w:lineRule="auto"/>
                    <w:jc w:val="center"/>
                    <w:rPr>
                      <w:rFonts w:ascii="宋体" w:hAnsi="宋体" w:cs="宋体"/>
                      <w:highlight w:val="none"/>
                    </w:rPr>
                  </w:pPr>
                  <w:r>
                    <w:rPr>
                      <w:rFonts w:hint="eastAsia" w:ascii="宋体" w:hAnsi="宋体" w:cs="宋体"/>
                      <w:highlight w:val="none"/>
                    </w:rPr>
                    <w:t>0.05%</w:t>
                  </w:r>
                </w:p>
              </w:tc>
              <w:tc>
                <w:tcPr>
                  <w:tcW w:w="1321" w:type="dxa"/>
                  <w:tcBorders>
                    <w:top w:val="single" w:color="auto" w:sz="4" w:space="0"/>
                    <w:left w:val="single" w:color="auto" w:sz="4" w:space="0"/>
                    <w:bottom w:val="single" w:color="auto" w:sz="4" w:space="0"/>
                    <w:right w:val="single" w:color="auto" w:sz="4" w:space="0"/>
                  </w:tcBorders>
                  <w:vAlign w:val="center"/>
                </w:tcPr>
                <w:p w14:paraId="3C03DFD9">
                  <w:pPr>
                    <w:spacing w:line="360" w:lineRule="auto"/>
                    <w:jc w:val="center"/>
                    <w:rPr>
                      <w:rFonts w:ascii="宋体" w:hAnsi="宋体" w:cs="宋体"/>
                      <w:highlight w:val="none"/>
                    </w:rPr>
                  </w:pPr>
                  <w:r>
                    <w:rPr>
                      <w:rFonts w:hint="eastAsia" w:ascii="宋体" w:hAnsi="宋体" w:cs="宋体"/>
                      <w:highlight w:val="none"/>
                    </w:rPr>
                    <w:t>0.05%</w:t>
                  </w:r>
                </w:p>
              </w:tc>
              <w:tc>
                <w:tcPr>
                  <w:tcW w:w="277" w:type="dxa"/>
                  <w:tcBorders>
                    <w:top w:val="single" w:color="auto" w:sz="4" w:space="0"/>
                    <w:left w:val="single" w:color="auto" w:sz="4" w:space="0"/>
                    <w:bottom w:val="single" w:color="auto" w:sz="4" w:space="0"/>
                    <w:right w:val="single" w:color="auto" w:sz="4" w:space="0"/>
                  </w:tcBorders>
                  <w:vAlign w:val="center"/>
                </w:tcPr>
                <w:p w14:paraId="746035DE">
                  <w:pPr>
                    <w:spacing w:line="360" w:lineRule="auto"/>
                    <w:jc w:val="center"/>
                    <w:rPr>
                      <w:rFonts w:ascii="宋体" w:hAnsi="宋体" w:cs="宋体"/>
                      <w:highlight w:val="none"/>
                    </w:rPr>
                  </w:pPr>
                </w:p>
              </w:tc>
            </w:tr>
            <w:tr w14:paraId="35F8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08" w:type="dxa"/>
                  <w:tcBorders>
                    <w:top w:val="single" w:color="auto" w:sz="4" w:space="0"/>
                    <w:left w:val="single" w:color="auto" w:sz="4" w:space="0"/>
                    <w:bottom w:val="single" w:color="auto" w:sz="4" w:space="0"/>
                    <w:right w:val="single" w:color="auto" w:sz="4" w:space="0"/>
                  </w:tcBorders>
                  <w:vAlign w:val="center"/>
                </w:tcPr>
                <w:p w14:paraId="75526410">
                  <w:pPr>
                    <w:spacing w:line="360" w:lineRule="auto"/>
                    <w:jc w:val="center"/>
                    <w:rPr>
                      <w:rFonts w:ascii="宋体" w:hAnsi="宋体" w:cs="宋体"/>
                      <w:highlight w:val="none"/>
                    </w:rPr>
                  </w:pPr>
                  <w:r>
                    <w:rPr>
                      <w:rFonts w:hint="eastAsia" w:ascii="宋体" w:hAnsi="宋体" w:cs="宋体"/>
                      <w:highlight w:val="none"/>
                    </w:rPr>
                    <w:t>1000000以上</w:t>
                  </w:r>
                </w:p>
              </w:tc>
              <w:tc>
                <w:tcPr>
                  <w:tcW w:w="1321" w:type="dxa"/>
                  <w:tcBorders>
                    <w:top w:val="single" w:color="auto" w:sz="4" w:space="0"/>
                    <w:left w:val="single" w:color="auto" w:sz="4" w:space="0"/>
                    <w:bottom w:val="single" w:color="auto" w:sz="4" w:space="0"/>
                    <w:right w:val="single" w:color="auto" w:sz="4" w:space="0"/>
                  </w:tcBorders>
                  <w:vAlign w:val="center"/>
                </w:tcPr>
                <w:p w14:paraId="272E950A">
                  <w:pPr>
                    <w:spacing w:line="360" w:lineRule="auto"/>
                    <w:jc w:val="center"/>
                    <w:rPr>
                      <w:rFonts w:ascii="宋体" w:hAnsi="宋体" w:cs="宋体"/>
                      <w:highlight w:val="none"/>
                    </w:rPr>
                  </w:pPr>
                  <w:r>
                    <w:rPr>
                      <w:rFonts w:hint="eastAsia" w:ascii="宋体" w:hAnsi="宋体" w:cs="宋体"/>
                      <w:highlight w:val="none"/>
                    </w:rPr>
                    <w:t>0.01%</w:t>
                  </w:r>
                </w:p>
              </w:tc>
              <w:tc>
                <w:tcPr>
                  <w:tcW w:w="1321" w:type="dxa"/>
                  <w:tcBorders>
                    <w:top w:val="single" w:color="auto" w:sz="4" w:space="0"/>
                    <w:left w:val="single" w:color="auto" w:sz="4" w:space="0"/>
                    <w:bottom w:val="single" w:color="auto" w:sz="4" w:space="0"/>
                    <w:right w:val="single" w:color="auto" w:sz="4" w:space="0"/>
                  </w:tcBorders>
                  <w:vAlign w:val="center"/>
                </w:tcPr>
                <w:p w14:paraId="6EA7DC23">
                  <w:pPr>
                    <w:spacing w:line="360" w:lineRule="auto"/>
                    <w:jc w:val="center"/>
                    <w:rPr>
                      <w:rFonts w:ascii="宋体" w:hAnsi="宋体" w:cs="宋体"/>
                      <w:highlight w:val="none"/>
                    </w:rPr>
                  </w:pPr>
                  <w:r>
                    <w:rPr>
                      <w:rFonts w:hint="eastAsia" w:ascii="宋体" w:hAnsi="宋体" w:cs="宋体"/>
                      <w:highlight w:val="none"/>
                    </w:rPr>
                    <w:t>0.01%</w:t>
                  </w:r>
                </w:p>
              </w:tc>
              <w:tc>
                <w:tcPr>
                  <w:tcW w:w="1321" w:type="dxa"/>
                  <w:tcBorders>
                    <w:top w:val="single" w:color="auto" w:sz="4" w:space="0"/>
                    <w:left w:val="single" w:color="auto" w:sz="4" w:space="0"/>
                    <w:bottom w:val="single" w:color="auto" w:sz="4" w:space="0"/>
                    <w:right w:val="single" w:color="auto" w:sz="4" w:space="0"/>
                  </w:tcBorders>
                  <w:vAlign w:val="center"/>
                </w:tcPr>
                <w:p w14:paraId="094F2978">
                  <w:pPr>
                    <w:spacing w:line="360" w:lineRule="auto"/>
                    <w:jc w:val="center"/>
                    <w:rPr>
                      <w:rFonts w:ascii="宋体" w:hAnsi="宋体" w:cs="宋体"/>
                      <w:highlight w:val="none"/>
                    </w:rPr>
                  </w:pPr>
                  <w:r>
                    <w:rPr>
                      <w:rFonts w:hint="eastAsia" w:ascii="宋体" w:hAnsi="宋体" w:cs="宋体"/>
                      <w:highlight w:val="none"/>
                    </w:rPr>
                    <w:t>0.01%</w:t>
                  </w:r>
                </w:p>
              </w:tc>
              <w:tc>
                <w:tcPr>
                  <w:tcW w:w="277" w:type="dxa"/>
                  <w:tcBorders>
                    <w:top w:val="single" w:color="auto" w:sz="4" w:space="0"/>
                    <w:left w:val="single" w:color="auto" w:sz="4" w:space="0"/>
                    <w:bottom w:val="single" w:color="auto" w:sz="4" w:space="0"/>
                    <w:right w:val="single" w:color="auto" w:sz="4" w:space="0"/>
                  </w:tcBorders>
                  <w:vAlign w:val="center"/>
                </w:tcPr>
                <w:p w14:paraId="517CF9EE">
                  <w:pPr>
                    <w:spacing w:line="360" w:lineRule="auto"/>
                    <w:jc w:val="center"/>
                    <w:rPr>
                      <w:rFonts w:ascii="宋体" w:hAnsi="宋体" w:cs="宋体"/>
                      <w:highlight w:val="none"/>
                    </w:rPr>
                  </w:pPr>
                </w:p>
              </w:tc>
            </w:tr>
          </w:tbl>
          <w:p w14:paraId="44301E97">
            <w:pPr>
              <w:spacing w:line="360" w:lineRule="auto"/>
              <w:rPr>
                <w:rFonts w:ascii="宋体" w:hAnsi="宋体" w:cs="宋体"/>
                <w:highlight w:val="none"/>
              </w:rPr>
            </w:pPr>
            <w:r>
              <w:rPr>
                <w:rFonts w:hint="eastAsia" w:ascii="宋体" w:hAnsi="宋体" w:cs="宋体"/>
                <w:highlight w:val="none"/>
              </w:rPr>
              <w:t>注：1、按本表费率计算的收费为招标代理全过程的收费基准价格，单独提供编制招标文件（有标底的含标底）服务的，可按规定标准的30%计收。</w:t>
            </w:r>
          </w:p>
          <w:p w14:paraId="174B4E06">
            <w:pPr>
              <w:numPr>
                <w:ilvl w:val="0"/>
                <w:numId w:val="6"/>
              </w:numPr>
              <w:spacing w:line="360" w:lineRule="auto"/>
              <w:rPr>
                <w:rFonts w:ascii="宋体" w:hAnsi="宋体" w:cs="宋体"/>
                <w:highlight w:val="none"/>
              </w:rPr>
            </w:pPr>
            <w:r>
              <w:rPr>
                <w:rFonts w:hint="eastAsia" w:ascii="宋体" w:hAnsi="宋体" w:cs="宋体"/>
                <w:highlight w:val="none"/>
              </w:rPr>
              <w:t>招标代理服务收费按差额定率累进法计算。例如：某工程招标代理业务中标金额为6000万元，计算招标代理服务收费额如下：</w:t>
            </w:r>
          </w:p>
          <w:p w14:paraId="371446C7">
            <w:pPr>
              <w:spacing w:line="360" w:lineRule="auto"/>
              <w:rPr>
                <w:rFonts w:ascii="宋体" w:hAnsi="宋体" w:cs="宋体"/>
                <w:highlight w:val="none"/>
              </w:rPr>
            </w:pPr>
            <w:r>
              <w:rPr>
                <w:rFonts w:hint="eastAsia" w:ascii="宋体" w:hAnsi="宋体" w:cs="宋体"/>
                <w:highlight w:val="none"/>
              </w:rPr>
              <w:t xml:space="preserve"> 100万元×1%＝1万元；</w:t>
            </w:r>
          </w:p>
          <w:p w14:paraId="2514E1CE">
            <w:pPr>
              <w:spacing w:line="360" w:lineRule="auto"/>
              <w:rPr>
                <w:rFonts w:ascii="宋体" w:hAnsi="宋体" w:cs="宋体"/>
                <w:highlight w:val="none"/>
              </w:rPr>
            </w:pPr>
            <w:r>
              <w:rPr>
                <w:rFonts w:hint="eastAsia" w:ascii="宋体" w:hAnsi="宋体" w:cs="宋体"/>
                <w:highlight w:val="none"/>
              </w:rPr>
              <w:t>（500－100）万元×0.7%＝2.8万元；</w:t>
            </w:r>
          </w:p>
          <w:p w14:paraId="3E92D364">
            <w:pPr>
              <w:spacing w:line="360" w:lineRule="auto"/>
              <w:rPr>
                <w:rFonts w:ascii="宋体" w:hAnsi="宋体" w:cs="宋体"/>
                <w:highlight w:val="none"/>
              </w:rPr>
            </w:pPr>
            <w:r>
              <w:rPr>
                <w:rFonts w:hint="eastAsia" w:ascii="宋体" w:hAnsi="宋体" w:cs="宋体"/>
                <w:highlight w:val="none"/>
              </w:rPr>
              <w:t>（1000-500）万元×0.55%＝2.75万元；</w:t>
            </w:r>
          </w:p>
          <w:p w14:paraId="37ACD97D">
            <w:pPr>
              <w:spacing w:line="360" w:lineRule="auto"/>
              <w:rPr>
                <w:rFonts w:ascii="宋体" w:hAnsi="宋体" w:cs="宋体"/>
                <w:highlight w:val="none"/>
              </w:rPr>
            </w:pPr>
            <w:r>
              <w:rPr>
                <w:rFonts w:hint="eastAsia" w:ascii="宋体" w:hAnsi="宋体" w:cs="宋体"/>
                <w:highlight w:val="none"/>
              </w:rPr>
              <w:t>(5000-1000)万元×0.35%＝14万元；</w:t>
            </w:r>
          </w:p>
          <w:p w14:paraId="57B8C7B5">
            <w:pPr>
              <w:spacing w:line="360" w:lineRule="auto"/>
              <w:rPr>
                <w:rFonts w:ascii="宋体" w:hAnsi="宋体" w:cs="宋体"/>
                <w:highlight w:val="none"/>
              </w:rPr>
            </w:pPr>
            <w:r>
              <w:rPr>
                <w:rFonts w:hint="eastAsia" w:ascii="宋体" w:hAnsi="宋体" w:cs="宋体"/>
                <w:highlight w:val="none"/>
              </w:rPr>
              <w:t>(6000-5000)万元×0.2%＝2万元；</w:t>
            </w:r>
          </w:p>
          <w:p w14:paraId="0F6634D3">
            <w:pPr>
              <w:spacing w:line="360" w:lineRule="auto"/>
              <w:rPr>
                <w:rFonts w:hint="eastAsia" w:ascii="宋体" w:hAnsi="宋体" w:cs="宋体"/>
                <w:highlight w:val="none"/>
              </w:rPr>
            </w:pPr>
            <w:r>
              <w:rPr>
                <w:rFonts w:hint="eastAsia" w:ascii="宋体" w:hAnsi="宋体" w:cs="宋体"/>
                <w:highlight w:val="none"/>
              </w:rPr>
              <w:t>合计收费=1+2.8+2.75+14+2=22.55万元。</w:t>
            </w:r>
          </w:p>
          <w:p w14:paraId="6E947D43">
            <w:pPr>
              <w:spacing w:line="400" w:lineRule="exact"/>
              <w:rPr>
                <w:rFonts w:hint="eastAsia" w:ascii="宋体" w:hAnsi="宋体" w:cs="宋体"/>
                <w:bCs/>
                <w:highlight w:val="none"/>
              </w:rPr>
            </w:pPr>
            <w:r>
              <w:rPr>
                <w:rFonts w:hint="eastAsia" w:ascii="宋体" w:hAnsi="宋体" w:cs="宋体"/>
                <w:bCs/>
                <w:highlight w:val="none"/>
                <w:lang w:val="en-US" w:eastAsia="zh-CN"/>
              </w:rPr>
              <w:t>3、</w:t>
            </w:r>
            <w:r>
              <w:rPr>
                <w:rFonts w:hint="eastAsia" w:ascii="宋体" w:hAnsi="宋体" w:cs="宋体"/>
                <w:bCs/>
                <w:highlight w:val="none"/>
              </w:rPr>
              <w:t>本次开评标交易服务费，在评标结束后，由中标人支付给平台运营方。</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3337"/>
            </w:tblGrid>
            <w:tr w14:paraId="138B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37" w:type="dxa"/>
                  <w:noWrap w:val="0"/>
                  <w:vAlign w:val="center"/>
                </w:tcPr>
                <w:p w14:paraId="239822BA">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中标价</w:t>
                  </w:r>
                </w:p>
              </w:tc>
              <w:tc>
                <w:tcPr>
                  <w:tcW w:w="3337" w:type="dxa"/>
                  <w:noWrap w:val="0"/>
                  <w:vAlign w:val="center"/>
                </w:tcPr>
                <w:p w14:paraId="54CBEE1A">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lang w:val="en-US" w:eastAsia="zh-CN"/>
                    </w:rPr>
                    <w:t>收费标准</w:t>
                  </w:r>
                  <w:r>
                    <w:rPr>
                      <w:rFonts w:hint="eastAsia" w:ascii="宋体" w:hAnsi="宋体" w:eastAsia="宋体" w:cs="宋体"/>
                      <w:sz w:val="21"/>
                      <w:szCs w:val="21"/>
                      <w:highlight w:val="none"/>
                    </w:rPr>
                    <w:t>（中标人）</w:t>
                  </w:r>
                </w:p>
              </w:tc>
            </w:tr>
            <w:tr w14:paraId="3A8B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37" w:type="dxa"/>
                  <w:noWrap w:val="0"/>
                  <w:vAlign w:val="center"/>
                </w:tcPr>
                <w:p w14:paraId="79A7F556">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100万元（含）以下</w:t>
                  </w:r>
                </w:p>
              </w:tc>
              <w:tc>
                <w:tcPr>
                  <w:tcW w:w="3337" w:type="dxa"/>
                  <w:noWrap w:val="0"/>
                  <w:vAlign w:val="center"/>
                </w:tcPr>
                <w:p w14:paraId="00A04965">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0元/标段</w:t>
                  </w:r>
                </w:p>
              </w:tc>
            </w:tr>
            <w:tr w14:paraId="2F30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37" w:type="dxa"/>
                  <w:noWrap w:val="0"/>
                  <w:vAlign w:val="center"/>
                </w:tcPr>
                <w:p w14:paraId="5BEB0F67">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100-200万元（含）</w:t>
                  </w:r>
                </w:p>
              </w:tc>
              <w:tc>
                <w:tcPr>
                  <w:tcW w:w="3337" w:type="dxa"/>
                  <w:noWrap w:val="0"/>
                  <w:vAlign w:val="center"/>
                </w:tcPr>
                <w:p w14:paraId="094A917A">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1000元/标段</w:t>
                  </w:r>
                </w:p>
              </w:tc>
            </w:tr>
            <w:tr w14:paraId="4814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37" w:type="dxa"/>
                  <w:noWrap w:val="0"/>
                  <w:vAlign w:val="center"/>
                </w:tcPr>
                <w:p w14:paraId="224A8B54">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200-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00万元（含）</w:t>
                  </w:r>
                </w:p>
              </w:tc>
              <w:tc>
                <w:tcPr>
                  <w:tcW w:w="3337" w:type="dxa"/>
                  <w:noWrap w:val="0"/>
                  <w:vAlign w:val="center"/>
                </w:tcPr>
                <w:p w14:paraId="4DEB9F09">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00元/标段</w:t>
                  </w:r>
                </w:p>
              </w:tc>
            </w:tr>
          </w:tbl>
          <w:p w14:paraId="55EF857B">
            <w:pPr>
              <w:pStyle w:val="22"/>
              <w:ind w:left="0" w:leftChars="0" w:firstLine="0" w:firstLineChars="0"/>
              <w:rPr>
                <w:highlight w:val="none"/>
              </w:rPr>
            </w:pPr>
          </w:p>
        </w:tc>
      </w:tr>
    </w:tbl>
    <w:p w14:paraId="2D77A708">
      <w:pPr>
        <w:pStyle w:val="11"/>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二、说 明</w:t>
      </w:r>
    </w:p>
    <w:p w14:paraId="29B8B096">
      <w:pPr>
        <w:pStyle w:val="12"/>
        <w:numPr>
          <w:ilvl w:val="0"/>
          <w:numId w:val="7"/>
        </w:numPr>
        <w:spacing w:line="360" w:lineRule="auto"/>
        <w:ind w:left="0" w:leftChars="0"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总则</w:t>
      </w:r>
    </w:p>
    <w:p w14:paraId="5DF4F03C">
      <w:pPr>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highlight w:val="none"/>
        </w:rPr>
        <w:t>浙江省</w:t>
      </w:r>
      <w:r>
        <w:rPr>
          <w:rFonts w:asciiTheme="minorEastAsia" w:hAnsiTheme="minorEastAsia" w:eastAsiaTheme="minorEastAsia"/>
          <w:sz w:val="24"/>
          <w:highlight w:val="none"/>
        </w:rPr>
        <w:t>有关法律、法规、规章编制。</w:t>
      </w:r>
    </w:p>
    <w:p w14:paraId="48B1AE12">
      <w:pPr>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sz w:val="24"/>
          <w:highlight w:val="none"/>
        </w:rPr>
        <w:t>由此引起的一切后果应由</w:t>
      </w: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hint="eastAsia"/>
          <w:sz w:val="24"/>
          <w:highlight w:val="none"/>
        </w:rPr>
        <w:t>承担。</w:t>
      </w:r>
    </w:p>
    <w:p w14:paraId="4B9F5391">
      <w:pPr>
        <w:numPr>
          <w:ilvl w:val="0"/>
          <w:numId w:val="7"/>
        </w:numPr>
        <w:snapToGrid w:val="0"/>
        <w:spacing w:line="360" w:lineRule="auto"/>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适用范围</w:t>
      </w:r>
    </w:p>
    <w:p w14:paraId="1DA3B026">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本招标文件适用于</w:t>
      </w:r>
      <w:r>
        <w:rPr>
          <w:rFonts w:hint="eastAsia" w:asciiTheme="minorEastAsia" w:hAnsiTheme="minorEastAsia" w:eastAsiaTheme="minorEastAsia"/>
          <w:bCs/>
          <w:sz w:val="24"/>
          <w:highlight w:val="none"/>
        </w:rPr>
        <w:t>本次</w:t>
      </w:r>
      <w:r>
        <w:rPr>
          <w:rFonts w:hint="eastAsia" w:asciiTheme="minorEastAsia" w:hAnsiTheme="minorEastAsia" w:eastAsiaTheme="minorEastAsia"/>
          <w:sz w:val="24"/>
          <w:highlight w:val="none"/>
        </w:rPr>
        <w:t>项目的招标、投标、评标、定标、验收、合同履约、付款等行为（法律、法规另有规定的，从其规定）。</w:t>
      </w:r>
    </w:p>
    <w:p w14:paraId="51C0768A">
      <w:pPr>
        <w:pStyle w:val="8"/>
        <w:spacing w:line="360" w:lineRule="auto"/>
        <w:ind w:firstLine="480" w:firstLineChars="200"/>
        <w:rPr>
          <w:highlight w:val="none"/>
        </w:rPr>
      </w:pPr>
      <w:r>
        <w:rPr>
          <w:highlight w:val="none"/>
        </w:rPr>
        <w:t>本招标文件仅适用于本次招标公告中所涉及的项目和内容。</w:t>
      </w:r>
    </w:p>
    <w:p w14:paraId="5D2E1F90">
      <w:pPr>
        <w:snapToGrid w:val="0"/>
        <w:spacing w:beforeLines="50"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（三）当事人</w:t>
      </w:r>
    </w:p>
    <w:p w14:paraId="11DB34AE">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highlight w:val="none"/>
        </w:rPr>
      </w:pPr>
      <w:r>
        <w:rPr>
          <w:rFonts w:hint="eastAsia" w:asciiTheme="minorEastAsia" w:hAnsiTheme="minorEastAsia" w:eastAsiaTheme="minorEastAsia"/>
          <w:sz w:val="24"/>
          <w:szCs w:val="24"/>
          <w:highlight w:val="none"/>
        </w:rPr>
        <w:t>1.</w:t>
      </w:r>
      <w:r>
        <w:rPr>
          <w:rFonts w:hint="eastAsia"/>
          <w:bCs w:val="0"/>
          <w:sz w:val="24"/>
          <w:szCs w:val="24"/>
          <w:highlight w:val="none"/>
          <w:lang w:val="zh-CN"/>
        </w:rPr>
        <w:t>采购组织机构：</w:t>
      </w:r>
      <w:r>
        <w:rPr>
          <w:rFonts w:hint="eastAsia" w:asciiTheme="minorEastAsia" w:hAnsiTheme="minorEastAsia" w:eastAsiaTheme="minorEastAsia"/>
          <w:sz w:val="24"/>
          <w:szCs w:val="24"/>
          <w:highlight w:val="none"/>
        </w:rPr>
        <w:t>是</w:t>
      </w:r>
      <w:r>
        <w:rPr>
          <w:rFonts w:hint="eastAsia"/>
          <w:bCs w:val="0"/>
          <w:sz w:val="24"/>
          <w:szCs w:val="24"/>
          <w:highlight w:val="none"/>
          <w:lang w:val="zh-CN"/>
        </w:rPr>
        <w:t>指采购人委托组织招标的集中采购机构</w:t>
      </w:r>
      <w:r>
        <w:rPr>
          <w:rFonts w:hint="eastAsia" w:cs="Arial"/>
          <w:bCs w:val="0"/>
          <w:sz w:val="24"/>
          <w:szCs w:val="24"/>
          <w:highlight w:val="none"/>
        </w:rPr>
        <w:t>或</w:t>
      </w:r>
      <w:r>
        <w:rPr>
          <w:rFonts w:hint="eastAsia"/>
          <w:bCs w:val="0"/>
          <w:sz w:val="24"/>
          <w:szCs w:val="24"/>
          <w:highlight w:val="none"/>
          <w:lang w:val="zh-CN"/>
        </w:rPr>
        <w:t>采购代理机构；</w:t>
      </w:r>
    </w:p>
    <w:p w14:paraId="46F56C38">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2.采购人：是指浙江金豹运业有限公司；</w:t>
      </w:r>
    </w:p>
    <w:p w14:paraId="58279405">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投标人</w:t>
      </w:r>
      <w:r>
        <w:rPr>
          <w:rFonts w:hint="eastAsia" w:asciiTheme="minorEastAsia" w:hAnsiTheme="minorEastAsia" w:eastAsiaTheme="minorEastAsia"/>
          <w:sz w:val="24"/>
          <w:highlight w:val="none"/>
        </w:rPr>
        <w:t>：是</w:t>
      </w:r>
      <w:r>
        <w:rPr>
          <w:rFonts w:asciiTheme="minorEastAsia" w:hAnsiTheme="minorEastAsia" w:eastAsiaTheme="minorEastAsia"/>
          <w:sz w:val="24"/>
          <w:highlight w:val="none"/>
        </w:rPr>
        <w:t>指</w:t>
      </w:r>
      <w:r>
        <w:rPr>
          <w:rFonts w:hint="eastAsia" w:asciiTheme="minorEastAsia" w:hAnsiTheme="minorEastAsia" w:eastAsiaTheme="minorEastAsia"/>
          <w:sz w:val="24"/>
          <w:highlight w:val="none"/>
        </w:rPr>
        <w:t>响应招标、参加投标竞争的法人、其他组织或者自然人；</w:t>
      </w:r>
    </w:p>
    <w:p w14:paraId="2DF8F7D7">
      <w:pPr>
        <w:snapToGrid w:val="0"/>
        <w:spacing w:line="360" w:lineRule="auto"/>
        <w:ind w:firstLine="480" w:firstLineChars="200"/>
        <w:rPr>
          <w:rFonts w:ascii="宋体" w:hAnsi="宋体"/>
          <w:sz w:val="24"/>
          <w:highlight w:val="none"/>
          <w:lang w:val="zh-CN"/>
        </w:rPr>
      </w:pPr>
      <w:r>
        <w:rPr>
          <w:rFonts w:hint="eastAsia" w:ascii="宋体" w:hAnsi="宋体"/>
          <w:sz w:val="24"/>
          <w:highlight w:val="none"/>
        </w:rPr>
        <w:t>4.</w:t>
      </w:r>
      <w:r>
        <w:rPr>
          <w:rFonts w:hint="eastAsia" w:ascii="宋体" w:hAnsi="宋体"/>
          <w:sz w:val="24"/>
          <w:highlight w:val="none"/>
          <w:lang w:val="zh-CN"/>
        </w:rPr>
        <w:t>中标</w:t>
      </w:r>
      <w:r>
        <w:rPr>
          <w:rFonts w:hint="eastAsia" w:ascii="宋体" w:hAnsi="宋体"/>
          <w:sz w:val="24"/>
          <w:highlight w:val="none"/>
        </w:rPr>
        <w:t>人</w:t>
      </w:r>
      <w:r>
        <w:rPr>
          <w:rFonts w:hint="eastAsia" w:ascii="宋体" w:hAnsi="宋体"/>
          <w:sz w:val="24"/>
          <w:highlight w:val="none"/>
          <w:lang w:val="zh-CN"/>
        </w:rPr>
        <w:t>：是指经评</w:t>
      </w:r>
      <w:r>
        <w:rPr>
          <w:rFonts w:hint="eastAsia" w:ascii="宋体" w:hAnsi="宋体"/>
          <w:sz w:val="24"/>
          <w:highlight w:val="none"/>
        </w:rPr>
        <w:t>标</w:t>
      </w:r>
      <w:r>
        <w:rPr>
          <w:rFonts w:hint="eastAsia" w:ascii="宋体" w:hAnsi="宋体"/>
          <w:sz w:val="24"/>
          <w:highlight w:val="none"/>
          <w:lang w:val="zh-CN"/>
        </w:rPr>
        <w:t>委员会评审确定的对招标文件</w:t>
      </w:r>
      <w:r>
        <w:rPr>
          <w:rFonts w:hint="eastAsia" w:ascii="宋体" w:hAnsi="宋体"/>
          <w:sz w:val="24"/>
          <w:highlight w:val="none"/>
        </w:rPr>
        <w:t>作</w:t>
      </w:r>
      <w:r>
        <w:rPr>
          <w:rFonts w:hint="eastAsia" w:ascii="宋体" w:hAnsi="宋体"/>
          <w:sz w:val="24"/>
          <w:highlight w:val="none"/>
          <w:lang w:val="zh-CN"/>
        </w:rPr>
        <w:t>出实质性响应，经采购人按照规定在评</w:t>
      </w:r>
      <w:r>
        <w:rPr>
          <w:rFonts w:hint="eastAsia" w:ascii="宋体" w:hAnsi="宋体"/>
          <w:sz w:val="24"/>
          <w:highlight w:val="none"/>
        </w:rPr>
        <w:t>标</w:t>
      </w:r>
      <w:r>
        <w:rPr>
          <w:rFonts w:hint="eastAsia" w:ascii="宋体" w:hAnsi="宋体"/>
          <w:sz w:val="24"/>
          <w:highlight w:val="none"/>
          <w:lang w:val="zh-CN"/>
        </w:rPr>
        <w:t>委员会推荐的中标候选人中确定的或受采购人委托直接确认的，与采购人签订合同资格的投标</w:t>
      </w:r>
      <w:r>
        <w:rPr>
          <w:rFonts w:hint="eastAsia" w:ascii="宋体" w:hAnsi="宋体"/>
          <w:sz w:val="24"/>
          <w:highlight w:val="none"/>
        </w:rPr>
        <w:t>人；</w:t>
      </w:r>
    </w:p>
    <w:p w14:paraId="52A8EF4B">
      <w:pPr>
        <w:snapToGrid w:val="0"/>
        <w:spacing w:line="360" w:lineRule="auto"/>
        <w:ind w:firstLine="480" w:firstLineChars="200"/>
        <w:rPr>
          <w:sz w:val="24"/>
          <w:highlight w:val="none"/>
        </w:rPr>
      </w:pPr>
      <w:r>
        <w:rPr>
          <w:rFonts w:hint="eastAsia" w:ascii="宋体" w:hAnsi="宋体"/>
          <w:sz w:val="24"/>
          <w:highlight w:val="none"/>
        </w:rPr>
        <w:t>5</w:t>
      </w:r>
      <w:r>
        <w:rPr>
          <w:rFonts w:hint="eastAsia" w:ascii="宋体" w:hAnsi="宋体"/>
          <w:sz w:val="24"/>
          <w:highlight w:val="none"/>
          <w:lang w:val="zh-CN"/>
        </w:rPr>
        <w:t>.</w:t>
      </w:r>
      <w:r>
        <w:rPr>
          <w:rFonts w:hint="eastAsia" w:ascii="宋体" w:hAnsi="宋体"/>
          <w:sz w:val="24"/>
          <w:highlight w:val="none"/>
        </w:rPr>
        <w:t>联合体：</w:t>
      </w:r>
      <w:r>
        <w:rPr>
          <w:rFonts w:hint="eastAsia"/>
          <w:sz w:val="24"/>
          <w:highlight w:val="none"/>
        </w:rPr>
        <w:t>两个或两个以上法人或者其他组织可以组成一个联合体，以一个投标人的身份共同投标。</w:t>
      </w:r>
    </w:p>
    <w:p w14:paraId="391EF136">
      <w:pPr>
        <w:snapToGrid w:val="0"/>
        <w:spacing w:line="360" w:lineRule="auto"/>
        <w:ind w:firstLine="482" w:firstLineChars="200"/>
        <w:rPr>
          <w:b/>
          <w:bCs/>
          <w:sz w:val="24"/>
          <w:highlight w:val="none"/>
        </w:rPr>
      </w:pPr>
      <w:r>
        <w:rPr>
          <w:rFonts w:hint="eastAsia"/>
          <w:b/>
          <w:bCs/>
          <w:sz w:val="24"/>
          <w:highlight w:val="none"/>
        </w:rPr>
        <w:t>（四）</w:t>
      </w:r>
      <w:r>
        <w:rPr>
          <w:b/>
          <w:bCs/>
          <w:sz w:val="24"/>
          <w:highlight w:val="none"/>
        </w:rPr>
        <w:t>以联合体形式投标的，应符合以下规定</w:t>
      </w:r>
      <w:r>
        <w:rPr>
          <w:rFonts w:hint="eastAsia"/>
          <w:b/>
          <w:bCs/>
          <w:sz w:val="24"/>
          <w:highlight w:val="none"/>
        </w:rPr>
        <w:t>（本项目不接受联合体）</w:t>
      </w:r>
    </w:p>
    <w:p w14:paraId="0B9CC1D3">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1.联</w:t>
      </w:r>
      <w:r>
        <w:rPr>
          <w:sz w:val="24"/>
          <w:highlight w:val="none"/>
        </w:rPr>
        <w:t>合体各方应签订联合体协议书，明确联合体牵头人和各方权利义务，并作为投标文件组成分部分</w:t>
      </w:r>
      <w:r>
        <w:rPr>
          <w:rFonts w:hint="eastAsia"/>
          <w:sz w:val="24"/>
          <w:highlight w:val="none"/>
        </w:rPr>
        <w:t>；</w:t>
      </w:r>
    </w:p>
    <w:p w14:paraId="4F18CDDB">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2.联</w:t>
      </w:r>
      <w:r>
        <w:rPr>
          <w:sz w:val="24"/>
          <w:highlight w:val="none"/>
        </w:rPr>
        <w:t>合体各方均应当具备</w:t>
      </w:r>
      <w:r>
        <w:rPr>
          <w:rFonts w:hint="eastAsia" w:ascii="宋体" w:hAnsi="宋体"/>
          <w:sz w:val="24"/>
          <w:highlight w:val="none"/>
          <w:lang w:val="zh-CN"/>
        </w:rPr>
        <w:t>《中华人民共和国政府采购法》</w:t>
      </w:r>
      <w:r>
        <w:rPr>
          <w:sz w:val="24"/>
          <w:highlight w:val="none"/>
        </w:rPr>
        <w:t>第二十二条规定的条件，并在投标文件中提供联合体各方的相关证明材料</w:t>
      </w:r>
      <w:r>
        <w:rPr>
          <w:rFonts w:hint="eastAsia"/>
          <w:sz w:val="24"/>
          <w:highlight w:val="none"/>
        </w:rPr>
        <w:t>；</w:t>
      </w:r>
    </w:p>
    <w:p w14:paraId="54F46498">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3.联合体成员存在不良信用记录的，视同联合体存在不良信用记录；</w:t>
      </w:r>
    </w:p>
    <w:p w14:paraId="092754C0">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4.联合体各方中至少应当有一方符合采购人规定的资格要求。由同一资质条件的投标人组成的联合体，应当按照资质等级较低的投标人确定联合体资质等级；</w:t>
      </w:r>
    </w:p>
    <w:p w14:paraId="3304B8FE">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5.联合体各方不得再以自己名义单独在同一合同项中投标，也不得组成新的联合体参加同一项目投标；</w:t>
      </w:r>
    </w:p>
    <w:p w14:paraId="0D78F297">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6.联合体各方应当共同与采购人签订采购合同，就合同约定的事项对采购人承担连带责任；</w:t>
      </w:r>
    </w:p>
    <w:p w14:paraId="36A8CA4D">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7.投标</w:t>
      </w:r>
      <w:r>
        <w:rPr>
          <w:sz w:val="24"/>
          <w:highlight w:val="none"/>
        </w:rPr>
        <w:t>时，应以联合体协议中确定的主体方名义投标，对联合体各方均具有约束力。</w:t>
      </w:r>
    </w:p>
    <w:p w14:paraId="218DC257">
      <w:pPr>
        <w:snapToGrid w:val="0"/>
        <w:spacing w:line="360" w:lineRule="auto"/>
        <w:ind w:firstLine="482" w:firstLineChars="200"/>
        <w:rPr>
          <w:b/>
          <w:bCs/>
          <w:sz w:val="24"/>
          <w:highlight w:val="none"/>
        </w:rPr>
      </w:pPr>
      <w:r>
        <w:rPr>
          <w:rFonts w:hint="eastAsia"/>
          <w:b/>
          <w:bCs/>
          <w:sz w:val="24"/>
          <w:highlight w:val="none"/>
        </w:rPr>
        <w:t>（五）</w:t>
      </w:r>
      <w:r>
        <w:rPr>
          <w:b/>
          <w:bCs/>
          <w:sz w:val="24"/>
          <w:highlight w:val="none"/>
        </w:rPr>
        <w:t>语言文字以及度量衡单位</w:t>
      </w:r>
    </w:p>
    <w:p w14:paraId="4DF0EE80">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1.投标文件以及投标人与</w:t>
      </w:r>
      <w:r>
        <w:rPr>
          <w:rFonts w:hint="eastAsia" w:ascii="宋体" w:hAnsi="宋体" w:cs="宋体" w:eastAsiaTheme="minorEastAsia"/>
          <w:kern w:val="0"/>
          <w:sz w:val="24"/>
          <w:highlight w:val="none"/>
        </w:rPr>
        <w:t>台州市建设咨询有限公司</w:t>
      </w:r>
      <w:r>
        <w:rPr>
          <w:rFonts w:hint="eastAsia" w:asciiTheme="minorEastAsia" w:hAnsiTheme="minorEastAsia" w:eastAsiaTheme="minorEastAsia"/>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2153F6CC">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2.所有计量均采用中国法定的计量单位。</w:t>
      </w:r>
    </w:p>
    <w:p w14:paraId="48DFD7FF">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3.所有</w:t>
      </w:r>
      <w:r>
        <w:rPr>
          <w:sz w:val="24"/>
          <w:highlight w:val="none"/>
        </w:rPr>
        <w:t>报价一律使用人民币，货币单位：元。</w:t>
      </w:r>
      <w:r>
        <w:rPr>
          <w:rFonts w:hint="eastAsia"/>
          <w:sz w:val="24"/>
          <w:highlight w:val="none"/>
        </w:rPr>
        <w:t>本项目为结算率报价。</w:t>
      </w:r>
    </w:p>
    <w:p w14:paraId="58E85E26">
      <w:pPr>
        <w:snapToGrid w:val="0"/>
        <w:spacing w:line="360" w:lineRule="auto"/>
        <w:ind w:firstLine="482" w:firstLineChars="200"/>
        <w:rPr>
          <w:b/>
          <w:bCs/>
          <w:sz w:val="24"/>
          <w:highlight w:val="none"/>
        </w:rPr>
      </w:pPr>
      <w:r>
        <w:rPr>
          <w:rFonts w:hint="eastAsia"/>
          <w:b/>
          <w:bCs/>
          <w:sz w:val="24"/>
          <w:highlight w:val="none"/>
        </w:rPr>
        <w:t>（六）</w:t>
      </w:r>
      <w:r>
        <w:rPr>
          <w:b/>
          <w:bCs/>
          <w:sz w:val="24"/>
          <w:highlight w:val="none"/>
        </w:rPr>
        <w:t>现场踏勘</w:t>
      </w:r>
    </w:p>
    <w:p w14:paraId="0414EADD">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1.招标文件规定组织踏勘现场的，采购人按招标文件规定的时间、地点组织投标人踏勘项目现场。</w:t>
      </w:r>
    </w:p>
    <w:p w14:paraId="2FFDEF03">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2.投标人自行承担踏勘现场发生的责任、风险和自身费用。</w:t>
      </w:r>
    </w:p>
    <w:p w14:paraId="4375C367">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3.采购人</w:t>
      </w:r>
      <w:r>
        <w:rPr>
          <w:sz w:val="24"/>
          <w:highlight w:val="none"/>
        </w:rPr>
        <w:t>在踏勘现场中介绍的资料和数据等，不构成对招标文件的修改或不作为投标人编制投标文件的依据。</w:t>
      </w:r>
    </w:p>
    <w:p w14:paraId="2E79095D">
      <w:pPr>
        <w:pStyle w:val="11"/>
        <w:snapToGrid w:val="0"/>
        <w:spacing w:line="360" w:lineRule="auto"/>
        <w:ind w:left="2" w:leftChars="1" w:firstLine="482" w:firstLineChars="200"/>
        <w:rPr>
          <w:rFonts w:hAnsi="宋体"/>
          <w:b/>
          <w:sz w:val="24"/>
          <w:highlight w:val="none"/>
        </w:rPr>
      </w:pPr>
      <w:r>
        <w:rPr>
          <w:rFonts w:hint="eastAsia" w:hAnsi="宋体"/>
          <w:b/>
          <w:sz w:val="24"/>
          <w:highlight w:val="none"/>
        </w:rPr>
        <w:t>（七）特别说明</w:t>
      </w:r>
    </w:p>
    <w:p w14:paraId="44ED54EB">
      <w:pPr>
        <w:pStyle w:val="11"/>
        <w:snapToGrid w:val="0"/>
        <w:spacing w:line="360" w:lineRule="auto"/>
        <w:ind w:left="2" w:leftChars="1"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投标人投标所使用的资格、信誉、荣誉、业绩与企业认证必须为本法人所拥有</w:t>
      </w:r>
      <w:r>
        <w:rPr>
          <w:rFonts w:hint="eastAsia" w:asciiTheme="minorEastAsia" w:hAnsiTheme="minorEastAsia" w:eastAsiaTheme="minorEastAsia"/>
          <w:sz w:val="24"/>
          <w:highlight w:val="none"/>
        </w:rPr>
        <w:t>且所提供的资料都是真实有效的</w:t>
      </w:r>
      <w:r>
        <w:rPr>
          <w:rFonts w:asciiTheme="minorEastAsia" w:hAnsiTheme="minorEastAsia" w:eastAsiaTheme="minorEastAsia"/>
          <w:sz w:val="24"/>
          <w:highlight w:val="none"/>
        </w:rPr>
        <w:t>。投标人投标所使用的采购项目实施人员必须为本法人员工。</w:t>
      </w:r>
    </w:p>
    <w:p w14:paraId="574C48FE">
      <w:pPr>
        <w:pStyle w:val="35"/>
        <w:snapToGrid w:val="0"/>
        <w:spacing w:line="360" w:lineRule="auto"/>
        <w:ind w:firstLine="480"/>
        <w:rPr>
          <w:rFonts w:ascii="宋体" w:hAnsi="宋体" w:cs="宋体"/>
          <w:sz w:val="24"/>
          <w:szCs w:val="24"/>
          <w:highlight w:val="none"/>
        </w:rPr>
      </w:pPr>
      <w:r>
        <w:rPr>
          <w:rFonts w:hint="eastAsia" w:asciiTheme="minorEastAsia" w:hAnsiTheme="minorEastAsia" w:eastAsiaTheme="minorEastAsia" w:cstheme="minorBidi"/>
          <w:sz w:val="24"/>
          <w:szCs w:val="24"/>
          <w:highlight w:val="none"/>
        </w:rPr>
        <w:t>2.</w:t>
      </w:r>
      <w:r>
        <w:rPr>
          <w:rFonts w:hint="eastAsia" w:ascii="宋体" w:hAnsi="宋体" w:cs="宋体"/>
          <w:sz w:val="24"/>
          <w:szCs w:val="24"/>
          <w:highlight w:val="none"/>
        </w:rPr>
        <w:t>本招标文件中关于电子招投标的内容、流程，如与台州市智慧招采云平台中最新的内容、操作不一致的，以台州市智慧招采云平台中的要求为准。</w:t>
      </w:r>
    </w:p>
    <w:p w14:paraId="7B0DE73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三、招标文件</w:t>
      </w:r>
    </w:p>
    <w:p w14:paraId="6B931B49">
      <w:pPr>
        <w:pStyle w:val="3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（一）招标文件由招标文件目录所列内容组成。</w:t>
      </w:r>
    </w:p>
    <w:p w14:paraId="45EBC6E5">
      <w:pPr>
        <w:pStyle w:val="3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（二）投标人在规定的时间内未对招标文件提出疑问、质疑或要求澄清的，将视其为无异议。</w:t>
      </w:r>
    </w:p>
    <w:p w14:paraId="135F205A">
      <w:pPr>
        <w:pStyle w:val="3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（三）对招标文件中描述有歧义或前后不一致的地方，评标委员会有权进行评判，但对同一条款的评判应适用于每个投标人。</w:t>
      </w:r>
    </w:p>
    <w:p w14:paraId="31C0373B">
      <w:pPr>
        <w:pStyle w:val="3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四）采购组织机构对招标文件进行必要的澄清更正的，澄清或者修改的内容可能影响投标文件编制的，于投标截止时间的3日前在台州市智慧招采云平台（https://tz.etrading.cn/）上以更正公告的形式通知各潜在的投标人；不足3日的，采购组织机构应当顺延提交投标文件的截止时间。</w:t>
      </w:r>
    </w:p>
    <w:p w14:paraId="34947535">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四、投标文件</w:t>
      </w:r>
    </w:p>
    <w:p w14:paraId="72A7673A">
      <w:pPr>
        <w:pStyle w:val="6"/>
        <w:spacing w:line="360" w:lineRule="auto"/>
        <w:ind w:firstLine="482" w:firstLineChars="200"/>
        <w:rPr>
          <w:rFonts w:asciiTheme="minorEastAsia" w:hAnsiTheme="minorEastAsia"/>
          <w:b/>
          <w:kern w:val="0"/>
          <w:sz w:val="24"/>
          <w:highlight w:val="none"/>
        </w:rPr>
      </w:pPr>
      <w:r>
        <w:rPr>
          <w:rFonts w:hint="eastAsia" w:asciiTheme="minorEastAsia" w:hAnsiTheme="minorEastAsia" w:eastAsiaTheme="minorEastAsia"/>
          <w:b/>
          <w:kern w:val="0"/>
          <w:sz w:val="24"/>
          <w:highlight w:val="none"/>
        </w:rPr>
        <w:t>（一）投标文件的编制</w:t>
      </w:r>
    </w:p>
    <w:p w14:paraId="241FDE6F">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投标人获取招标文件后，按照采购组织机构的要求提供：资格证明文件、商务与技术文件和报价</w:t>
      </w:r>
      <w:r>
        <w:rPr>
          <w:rFonts w:hint="eastAsia" w:asciiTheme="minorEastAsia" w:hAnsiTheme="minorEastAsia" w:eastAsiaTheme="minorEastAsia"/>
          <w:kern w:val="0"/>
          <w:sz w:val="24"/>
          <w:highlight w:val="none"/>
          <w:lang w:val="zh-CN"/>
        </w:rPr>
        <w:t>文件。【特别提示：如在投标时有要求提供资料原件的，将原件扫描放入投标文件】若参与多标项投标的，则按每个标项分别独立编制投标文件。</w:t>
      </w:r>
    </w:p>
    <w:p w14:paraId="16B05211">
      <w:pPr>
        <w:snapToGrid w:val="0"/>
        <w:spacing w:line="360" w:lineRule="auto"/>
        <w:ind w:firstLine="482" w:firstLineChars="200"/>
        <w:rPr>
          <w:rFonts w:asciiTheme="minorEastAsia" w:hAnsiTheme="minorEastAsia" w:eastAsiaTheme="minorEastAsia"/>
          <w:kern w:val="0"/>
          <w:sz w:val="24"/>
          <w:highlight w:val="none"/>
        </w:rPr>
      </w:pPr>
      <w:r>
        <w:rPr>
          <w:rFonts w:hint="eastAsia" w:ascii="宋体" w:hAnsi="宋体" w:cs="宋体"/>
          <w:b/>
          <w:sz w:val="24"/>
          <w:highlight w:val="none"/>
        </w:rPr>
        <w:t>▲</w:t>
      </w:r>
      <w:r>
        <w:rPr>
          <w:rFonts w:hint="eastAsia" w:asciiTheme="minorEastAsia" w:hAnsiTheme="minorEastAsia" w:eastAsiaTheme="minorEastAsia"/>
          <w:b/>
          <w:sz w:val="24"/>
          <w:highlight w:val="none"/>
        </w:rPr>
        <w:t>1.资格证明</w:t>
      </w:r>
      <w:r>
        <w:rPr>
          <w:rFonts w:asciiTheme="minorEastAsia" w:hAnsiTheme="minorEastAsia" w:eastAsiaTheme="minorEastAsia"/>
          <w:b/>
          <w:sz w:val="24"/>
          <w:highlight w:val="none"/>
        </w:rPr>
        <w:t>文件</w:t>
      </w:r>
      <w:r>
        <w:rPr>
          <w:rFonts w:hint="eastAsia" w:ascii="宋体" w:hAnsi="宋体"/>
          <w:b/>
          <w:sz w:val="24"/>
          <w:highlight w:val="none"/>
        </w:rPr>
        <w:t>的组成</w:t>
      </w:r>
    </w:p>
    <w:p w14:paraId="40AAF608">
      <w:pPr>
        <w:snapToGrid w:val="0"/>
        <w:spacing w:line="360" w:lineRule="auto"/>
        <w:ind w:firstLine="480" w:firstLineChars="200"/>
        <w:rPr>
          <w:rFonts w:ascii="宋体" w:hAnsi="宋体" w:cs="宋体"/>
          <w:sz w:val="24"/>
          <w:highlight w:val="none"/>
        </w:rPr>
      </w:pPr>
      <w:r>
        <w:rPr>
          <w:rFonts w:hint="eastAsia" w:ascii="宋体" w:hAnsi="宋体"/>
          <w:bCs/>
          <w:sz w:val="24"/>
          <w:highlight w:val="none"/>
        </w:rPr>
        <w:t>（1）</w:t>
      </w:r>
      <w:r>
        <w:rPr>
          <w:rFonts w:hint="eastAsia" w:ascii="宋体" w:hAnsi="宋体" w:cs="宋体"/>
          <w:sz w:val="24"/>
          <w:highlight w:val="none"/>
        </w:rPr>
        <w:t>投标声明书</w:t>
      </w:r>
      <w:r>
        <w:rPr>
          <w:rFonts w:hint="eastAsia" w:ascii="宋体" w:hAnsi="宋体"/>
          <w:bCs/>
          <w:sz w:val="24"/>
          <w:highlight w:val="none"/>
        </w:rPr>
        <w:t>（格式详见附件）</w:t>
      </w:r>
      <w:r>
        <w:rPr>
          <w:rFonts w:hint="eastAsia" w:ascii="宋体" w:hAnsi="宋体" w:cs="宋体"/>
          <w:sz w:val="24"/>
          <w:highlight w:val="none"/>
        </w:rPr>
        <w:t>；</w:t>
      </w:r>
    </w:p>
    <w:p w14:paraId="2D16D91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（2）授权委托书（法定代表人亲自办理投标事宜的，则无需提交；</w:t>
      </w:r>
      <w:r>
        <w:rPr>
          <w:rFonts w:hint="eastAsia" w:ascii="宋体" w:hAnsi="宋体"/>
          <w:bCs/>
          <w:sz w:val="24"/>
          <w:highlight w:val="none"/>
        </w:rPr>
        <w:t>格式详见附件</w:t>
      </w:r>
      <w:r>
        <w:rPr>
          <w:rFonts w:hint="eastAsia" w:ascii="宋体" w:hAnsi="宋体" w:cs="宋体"/>
          <w:sz w:val="24"/>
          <w:highlight w:val="none"/>
        </w:rPr>
        <w:t>）；</w:t>
      </w:r>
    </w:p>
    <w:p w14:paraId="05C9E13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14:paraId="3058625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（4）具有依法缴纳税收和社会保障资金证明的承诺函（</w:t>
      </w:r>
      <w:r>
        <w:rPr>
          <w:rFonts w:hint="eastAsia" w:ascii="宋体" w:hAnsi="宋体"/>
          <w:bCs/>
          <w:sz w:val="24"/>
          <w:highlight w:val="none"/>
        </w:rPr>
        <w:t>格式详见附件</w:t>
      </w:r>
      <w:r>
        <w:rPr>
          <w:rFonts w:hint="eastAsia" w:ascii="宋体" w:hAnsi="宋体" w:cs="宋体"/>
          <w:sz w:val="24"/>
          <w:highlight w:val="none"/>
        </w:rPr>
        <w:t>）；</w:t>
      </w:r>
    </w:p>
    <w:p w14:paraId="4972241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（5）具有良好的商业信誉和健全的财务会计制度的承诺函（</w:t>
      </w:r>
      <w:r>
        <w:rPr>
          <w:rFonts w:hint="eastAsia" w:ascii="宋体" w:hAnsi="宋体"/>
          <w:bCs/>
          <w:sz w:val="24"/>
          <w:highlight w:val="none"/>
        </w:rPr>
        <w:t>格式详见附件</w:t>
      </w:r>
      <w:r>
        <w:rPr>
          <w:rFonts w:hint="eastAsia" w:ascii="宋体" w:hAnsi="宋体" w:cs="宋体"/>
          <w:sz w:val="24"/>
          <w:highlight w:val="none"/>
        </w:rPr>
        <w:t>）；</w:t>
      </w:r>
    </w:p>
    <w:p w14:paraId="38B90C1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（6）具有履行合同所必须的设备和专业技术能力的承诺函（</w:t>
      </w:r>
      <w:r>
        <w:rPr>
          <w:rFonts w:hint="eastAsia" w:ascii="宋体" w:hAnsi="宋体"/>
          <w:bCs/>
          <w:sz w:val="24"/>
          <w:highlight w:val="none"/>
        </w:rPr>
        <w:t>格式详见附件</w:t>
      </w:r>
      <w:r>
        <w:rPr>
          <w:rFonts w:hint="eastAsia" w:ascii="宋体" w:hAnsi="宋体" w:cs="宋体"/>
          <w:sz w:val="24"/>
          <w:highlight w:val="none"/>
        </w:rPr>
        <w:t>）；</w:t>
      </w:r>
    </w:p>
    <w:p w14:paraId="71AC8131">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（7）对应资格要求相关的证明材料；</w:t>
      </w:r>
    </w:p>
    <w:p w14:paraId="2CC122BC">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（8）需要说明的其他资料（如有）。</w:t>
      </w:r>
    </w:p>
    <w:p w14:paraId="4F3CBB59">
      <w:pPr>
        <w:snapToGrid w:val="0"/>
        <w:spacing w:line="360" w:lineRule="auto"/>
        <w:ind w:firstLine="482" w:firstLineChars="200"/>
        <w:rPr>
          <w:rFonts w:ascii="宋体" w:hAnsi="宋体"/>
          <w:b/>
          <w:sz w:val="24"/>
          <w:highlight w:val="none"/>
        </w:rPr>
      </w:pPr>
      <w:r>
        <w:rPr>
          <w:rFonts w:hint="eastAsia" w:asciiTheme="minorEastAsia" w:hAnsiTheme="minorEastAsia" w:eastAsiaTheme="minorEastAsia"/>
          <w:b/>
          <w:sz w:val="24"/>
          <w:highlight w:val="none"/>
        </w:rPr>
        <w:t>2.</w:t>
      </w:r>
      <w:r>
        <w:rPr>
          <w:rFonts w:hint="eastAsia" w:ascii="宋体" w:hAnsi="宋体"/>
          <w:b/>
          <w:sz w:val="24"/>
          <w:highlight w:val="none"/>
        </w:rPr>
        <w:t>商务与技术文件的组成</w:t>
      </w:r>
    </w:p>
    <w:p w14:paraId="509DFF2F">
      <w:pPr>
        <w:snapToGrid w:val="0"/>
        <w:spacing w:line="360" w:lineRule="auto"/>
        <w:ind w:firstLine="480" w:firstLineChars="200"/>
        <w:rPr>
          <w:rFonts w:ascii="宋体" w:hAnsi="宋体"/>
          <w:bCs/>
          <w:sz w:val="24"/>
          <w:highlight w:val="none"/>
        </w:rPr>
      </w:pPr>
      <w:r>
        <w:rPr>
          <w:rFonts w:hint="eastAsia" w:ascii="宋体" w:hAnsi="宋体"/>
          <w:bCs/>
          <w:sz w:val="24"/>
          <w:highlight w:val="none"/>
        </w:rPr>
        <w:t>（1）项目负责人资格情况表（格式详见附件）；</w:t>
      </w:r>
    </w:p>
    <w:p w14:paraId="29054462">
      <w:pPr>
        <w:snapToGrid w:val="0"/>
        <w:spacing w:line="360" w:lineRule="auto"/>
        <w:ind w:firstLine="480" w:firstLineChars="200"/>
        <w:rPr>
          <w:rFonts w:ascii="宋体" w:hAnsi="宋体"/>
          <w:bCs/>
          <w:sz w:val="24"/>
          <w:highlight w:val="none"/>
        </w:rPr>
      </w:pPr>
      <w:r>
        <w:rPr>
          <w:rFonts w:hint="eastAsia" w:ascii="宋体" w:hAnsi="宋体"/>
          <w:bCs/>
          <w:sz w:val="24"/>
          <w:highlight w:val="none"/>
        </w:rPr>
        <w:t>（2）项目实施人员一览表（格式详见附件）；</w:t>
      </w:r>
    </w:p>
    <w:p w14:paraId="6193132D">
      <w:pPr>
        <w:snapToGrid w:val="0"/>
        <w:spacing w:line="360" w:lineRule="auto"/>
        <w:ind w:firstLine="480" w:firstLineChars="200"/>
        <w:rPr>
          <w:rFonts w:ascii="宋体" w:hAnsi="宋体"/>
          <w:bCs/>
          <w:sz w:val="24"/>
          <w:highlight w:val="none"/>
        </w:rPr>
      </w:pPr>
      <w:r>
        <w:rPr>
          <w:rFonts w:hint="eastAsia" w:ascii="宋体" w:hAnsi="宋体"/>
          <w:bCs/>
          <w:sz w:val="24"/>
          <w:highlight w:val="none"/>
        </w:rPr>
        <w:t>（3）服务与商务需求响应表</w:t>
      </w:r>
      <w:r>
        <w:rPr>
          <w:rFonts w:hint="eastAsia" w:ascii="Calibri" w:hAnsi="Calibri" w:cs="Calibri"/>
          <w:sz w:val="24"/>
          <w:highlight w:val="none"/>
        </w:rPr>
        <w:t>（</w:t>
      </w:r>
      <w:r>
        <w:rPr>
          <w:rFonts w:hint="eastAsia" w:ascii="宋体" w:hAnsi="宋体"/>
          <w:bCs/>
          <w:sz w:val="24"/>
          <w:highlight w:val="none"/>
        </w:rPr>
        <w:t>格式详见附件</w:t>
      </w:r>
      <w:r>
        <w:rPr>
          <w:rFonts w:hint="eastAsia" w:ascii="Calibri" w:hAnsi="Calibri" w:cs="Calibri"/>
          <w:sz w:val="24"/>
          <w:highlight w:val="none"/>
        </w:rPr>
        <w:t>）；</w:t>
      </w:r>
    </w:p>
    <w:p w14:paraId="7FE3D3BE">
      <w:pPr>
        <w:snapToGrid w:val="0"/>
        <w:spacing w:line="360" w:lineRule="auto"/>
        <w:ind w:firstLine="480" w:firstLineChars="200"/>
        <w:rPr>
          <w:rFonts w:ascii="Calibri" w:hAnsi="Calibri" w:cs="Calibri"/>
          <w:sz w:val="24"/>
          <w:highlight w:val="none"/>
        </w:rPr>
      </w:pPr>
      <w:r>
        <w:rPr>
          <w:rFonts w:hint="eastAsia" w:ascii="宋体" w:hAnsi="宋体"/>
          <w:bCs/>
          <w:sz w:val="24"/>
          <w:highlight w:val="none"/>
        </w:rPr>
        <w:t>（4）同类业绩证明（格式详见附件）；</w:t>
      </w:r>
    </w:p>
    <w:p w14:paraId="1498B974">
      <w:pPr>
        <w:pStyle w:val="6"/>
        <w:widowControl/>
        <w:numPr>
          <w:ilvl w:val="255"/>
          <w:numId w:val="0"/>
        </w:numPr>
        <w:snapToGrid w:val="0"/>
        <w:spacing w:line="360" w:lineRule="auto"/>
        <w:ind w:firstLine="480" w:firstLineChars="200"/>
        <w:rPr>
          <w:rFonts w:ascii="宋体" w:hAnsi="宋体"/>
          <w:bCs/>
          <w:sz w:val="24"/>
          <w:highlight w:val="none"/>
        </w:rPr>
      </w:pPr>
      <w:r>
        <w:rPr>
          <w:rFonts w:hint="eastAsia" w:ascii="宋体" w:hAnsi="宋体"/>
          <w:bCs/>
          <w:sz w:val="24"/>
          <w:highlight w:val="none"/>
        </w:rPr>
        <w:t>（5）符合招标文件规定的其他证明文件及评分标准中涉及的其他材料（投标人根据评标办法自行编制）。</w:t>
      </w:r>
    </w:p>
    <w:p w14:paraId="365A5EA2">
      <w:pPr>
        <w:autoSpaceDE w:val="0"/>
        <w:autoSpaceDN w:val="0"/>
        <w:adjustRightInd w:val="0"/>
        <w:spacing w:line="360" w:lineRule="auto"/>
        <w:ind w:left="426" w:firstLine="65" w:firstLineChars="27"/>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3、报价内容的组成</w:t>
      </w:r>
    </w:p>
    <w:p w14:paraId="2E781DAF">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（1）开标一览表（</w:t>
      </w:r>
      <w:r>
        <w:rPr>
          <w:rFonts w:hint="eastAsia" w:ascii="宋体" w:hAnsi="宋体"/>
          <w:bCs/>
          <w:sz w:val="24"/>
          <w:highlight w:val="none"/>
        </w:rPr>
        <w:t>格式详见附件</w:t>
      </w:r>
      <w:r>
        <w:rPr>
          <w:rFonts w:hint="eastAsia" w:asciiTheme="minorEastAsia" w:hAnsiTheme="minorEastAsia" w:eastAsiaTheme="minorEastAsia"/>
          <w:kern w:val="0"/>
          <w:sz w:val="24"/>
          <w:highlight w:val="none"/>
        </w:rPr>
        <w:t>）；</w:t>
      </w:r>
    </w:p>
    <w:p w14:paraId="6276C0AD">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宋体" w:hAnsi="宋体" w:cs="宋体"/>
          <w:sz w:val="24"/>
          <w:highlight w:val="none"/>
        </w:rPr>
        <w:t>（2）</w:t>
      </w:r>
      <w:r>
        <w:rPr>
          <w:rFonts w:hint="eastAsia" w:asciiTheme="minorEastAsia" w:hAnsiTheme="minorEastAsia" w:eastAsiaTheme="minorEastAsia"/>
          <w:kern w:val="0"/>
          <w:sz w:val="24"/>
          <w:highlight w:val="none"/>
        </w:rPr>
        <w:t>针对报价投标人认为其他需要说明的</w:t>
      </w:r>
      <w:r>
        <w:rPr>
          <w:rFonts w:hint="eastAsia" w:ascii="宋体" w:hAnsi="宋体" w:cs="宋体"/>
          <w:bCs/>
          <w:sz w:val="24"/>
          <w:highlight w:val="none"/>
        </w:rPr>
        <w:t>（如有）</w:t>
      </w:r>
      <w:r>
        <w:rPr>
          <w:rFonts w:hint="eastAsia" w:asciiTheme="minorEastAsia" w:hAnsiTheme="minorEastAsia" w:eastAsiaTheme="minorEastAsia"/>
          <w:kern w:val="0"/>
          <w:sz w:val="24"/>
          <w:highlight w:val="none"/>
        </w:rPr>
        <w:t>。</w:t>
      </w:r>
    </w:p>
    <w:p w14:paraId="0A876F86">
      <w:pPr>
        <w:autoSpaceDE w:val="0"/>
        <w:autoSpaceDN w:val="0"/>
        <w:adjustRightInd w:val="0"/>
        <w:spacing w:line="360" w:lineRule="auto"/>
        <w:ind w:firstLine="482" w:firstLineChars="200"/>
        <w:rPr>
          <w:rFonts w:asciiTheme="majorEastAsia" w:hAnsiTheme="majorEastAsia" w:eastAsiaTheme="majorEastAsia" w:cstheme="majorEastAsia"/>
          <w:b/>
          <w:kern w:val="0"/>
          <w:sz w:val="24"/>
          <w:highlight w:val="none"/>
        </w:rPr>
      </w:pPr>
      <w:r>
        <w:rPr>
          <w:rFonts w:hint="eastAsia" w:asciiTheme="majorEastAsia" w:hAnsiTheme="majorEastAsia" w:eastAsiaTheme="majorEastAsia" w:cstheme="majorEastAsia"/>
          <w:b/>
          <w:kern w:val="0"/>
          <w:sz w:val="24"/>
          <w:highlight w:val="none"/>
        </w:rPr>
        <w:t>（二）投标报价</w:t>
      </w:r>
    </w:p>
    <w:p w14:paraId="0BC1913E">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14:paraId="1C3746D7">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投标报价包括本项目采购需求和投入使用的所有费用，包括但不限于项目实施所需的车辆、设备设施、器材、仪器、软件、工具的购买或租赁费、存放费、管理费、运输费、日常维护保养费、维修费；服务人员人工工资（含月基本工资、工龄工资、岗位工资）、生活津贴、奖金、节假日加班费及各类加班费、高温补贴、节假日慰问费、餐补费及企业福利等；服务人员食宿与交通、运输工具、公积金、企业年金、工会经费、疗休养、教育培训、体检、关爱活动、职教费、残保金、奖罚措施、各类社会保险【基本社会保险（养老保险、医疗保险、失业保险、工伤保险、生育保险）、工伤保险、人身意外伤害保险、公众责任险等】；技术服务、技术培训、技术资料的提交；开办费、企业管理费、办公、通信、利润、税费、代理服务费及完成合同所需的一切本身和不可或缺的所有费用开支、政策性文件规定及合同中明示或暗示的所有项目实施期间的安全保障及第三方责任赔偿、风险、责任、义务、不可预见费等各项应有费用。</w:t>
      </w:r>
    </w:p>
    <w:p w14:paraId="6E977E37">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3.投标报价不得为选择性报价和附有条件的报价。</w:t>
      </w:r>
    </w:p>
    <w:p w14:paraId="2EAD7D62">
      <w:pPr>
        <w:pStyle w:val="6"/>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（三）投标文件的有效期</w:t>
      </w:r>
    </w:p>
    <w:p w14:paraId="53FFF76F">
      <w:pPr>
        <w:pStyle w:val="6"/>
        <w:spacing w:line="360" w:lineRule="auto"/>
        <w:ind w:firstLine="480" w:firstLineChars="200"/>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1.投标文件有效期为</w:t>
      </w:r>
      <w:r>
        <w:rPr>
          <w:rFonts w:hint="eastAsia" w:asciiTheme="minorEastAsia" w:hAnsiTheme="minorEastAsia" w:eastAsiaTheme="minorEastAsia" w:cstheme="minorEastAsia"/>
          <w:sz w:val="24"/>
          <w:highlight w:val="none"/>
          <w:lang w:val="en-GB"/>
        </w:rPr>
        <w:t>投标截止日起90天。</w:t>
      </w:r>
    </w:p>
    <w:p w14:paraId="0A525E1B">
      <w:pPr>
        <w:pStyle w:val="6"/>
        <w:spacing w:line="360" w:lineRule="auto"/>
        <w:ind w:firstLine="480" w:firstLineChars="200"/>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lang w:val="en-GB"/>
        </w:rPr>
        <w:t>在特殊情况下，采购人可与投标人协商延长投标文件的有效期。</w:t>
      </w:r>
    </w:p>
    <w:p w14:paraId="4D5FB276">
      <w:pPr>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3.中标人的投标文件自开标之日起至合同履行完毕均应保持有效。</w:t>
      </w:r>
    </w:p>
    <w:p w14:paraId="0AE3CCDC">
      <w:pPr>
        <w:snapToGri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（四）投标文件的签署</w:t>
      </w:r>
    </w:p>
    <w:p w14:paraId="3B907A25">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1.投标文件需由法定代表人（机构负责人）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E5CF4BB">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2.投标文件中所有的插字、涂改和增删，必须由法定代表人或经其正式授权的代表在旁边签字或盖章才有效。</w:t>
      </w:r>
    </w:p>
    <w:p w14:paraId="23BF2BB1">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3.投标文件中要求加盖公章处，可使用有效安全的电子签章替代。</w:t>
      </w:r>
    </w:p>
    <w:p w14:paraId="47BBAD42">
      <w:pPr>
        <w:autoSpaceDE w:val="0"/>
        <w:autoSpaceDN w:val="0"/>
        <w:adjustRightInd w:val="0"/>
        <w:spacing w:line="360" w:lineRule="auto"/>
        <w:ind w:firstLine="482" w:firstLineChars="200"/>
        <w:rPr>
          <w:rFonts w:asciiTheme="minorEastAsia" w:hAnsiTheme="minorEastAsia"/>
          <w:b/>
          <w:bCs/>
          <w:sz w:val="24"/>
          <w:highlight w:val="none"/>
        </w:rPr>
      </w:pPr>
      <w:r>
        <w:rPr>
          <w:rFonts w:hint="eastAsia" w:asciiTheme="minorEastAsia" w:hAnsiTheme="minorEastAsia"/>
          <w:b/>
          <w:bCs/>
          <w:sz w:val="24"/>
          <w:highlight w:val="none"/>
        </w:rPr>
        <w:t>（五）</w:t>
      </w:r>
      <w:r>
        <w:rPr>
          <w:rFonts w:hint="eastAsia" w:asciiTheme="minorEastAsia" w:hAnsiTheme="minorEastAsia" w:eastAsiaTheme="minorEastAsia"/>
          <w:b/>
          <w:bCs/>
          <w:sz w:val="24"/>
          <w:highlight w:val="none"/>
        </w:rPr>
        <w:t>投标文件</w:t>
      </w:r>
      <w:r>
        <w:rPr>
          <w:rFonts w:hint="eastAsia" w:asciiTheme="minorEastAsia" w:hAnsiTheme="minorEastAsia"/>
          <w:b/>
          <w:bCs/>
          <w:sz w:val="24"/>
          <w:highlight w:val="none"/>
        </w:rPr>
        <w:t>的递交要求</w:t>
      </w:r>
    </w:p>
    <w:p w14:paraId="32C53725">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ajorEastAsia" w:hAnsiTheme="majorEastAsia" w:eastAsiaTheme="majorEastAsia" w:cstheme="majorEastAsia"/>
          <w:sz w:val="24"/>
          <w:highlight w:val="none"/>
        </w:rPr>
        <w:t>按照前附表要求提交，</w:t>
      </w:r>
      <w:r>
        <w:rPr>
          <w:rFonts w:hint="eastAsia" w:asciiTheme="minorEastAsia" w:hAnsiTheme="minorEastAsia" w:eastAsiaTheme="minorEastAsia"/>
          <w:kern w:val="0"/>
          <w:sz w:val="24"/>
          <w:highlight w:val="none"/>
        </w:rPr>
        <w:t>如采购组织机构延长截止时间和开标时间，采购组织机构和投标人的权利和义务将受到新的截止时间和开标时间的约束。</w:t>
      </w:r>
    </w:p>
    <w:p w14:paraId="0F5AEBB6">
      <w:pPr>
        <w:snapToGri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五、开标</w:t>
      </w:r>
    </w:p>
    <w:p w14:paraId="0D8B7F80">
      <w:pPr>
        <w:autoSpaceDE w:val="0"/>
        <w:autoSpaceDN w:val="0"/>
        <w:adjustRightInd w:val="0"/>
        <w:spacing w:line="360" w:lineRule="auto"/>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（一）开</w:t>
      </w:r>
      <w:r>
        <w:rPr>
          <w:rFonts w:hint="eastAsia" w:asciiTheme="minorEastAsia" w:hAnsiTheme="minorEastAsia" w:eastAsiaTheme="minorEastAsia"/>
          <w:b/>
          <w:sz w:val="24"/>
          <w:highlight w:val="none"/>
        </w:rPr>
        <w:t>标</w:t>
      </w:r>
      <w:r>
        <w:rPr>
          <w:rFonts w:asciiTheme="minorEastAsia" w:hAnsiTheme="minorEastAsia" w:eastAsiaTheme="minorEastAsia"/>
          <w:b/>
          <w:sz w:val="24"/>
          <w:highlight w:val="none"/>
        </w:rPr>
        <w:t>程序</w:t>
      </w:r>
    </w:p>
    <w:p w14:paraId="35C004FB">
      <w:pPr>
        <w:pStyle w:val="6"/>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1.开标时间到后，主持人准时组织开标；</w:t>
      </w:r>
    </w:p>
    <w:p w14:paraId="001CA5AC">
      <w:pPr>
        <w:pStyle w:val="6"/>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2.宣布采购组织机构工作人员；</w:t>
      </w:r>
    </w:p>
    <w:p w14:paraId="2F8AC1A4">
      <w:pPr>
        <w:pStyle w:val="6"/>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3.投标人登录台州市智慧招采云平台，用“我的项目-选择对应项目-开标大厅”功能观看开标活动；</w:t>
      </w:r>
    </w:p>
    <w:p w14:paraId="155EFB7D">
      <w:pPr>
        <w:pStyle w:val="6"/>
        <w:spacing w:line="360" w:lineRule="auto"/>
        <w:ind w:firstLine="480" w:firstLineChars="200"/>
        <w:rPr>
          <w:sz w:val="24"/>
          <w:szCs w:val="22"/>
          <w:highlight w:val="none"/>
        </w:rPr>
      </w:pPr>
      <w:r>
        <w:rPr>
          <w:rFonts w:hint="eastAsia" w:cs="宋体"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rPr>
        <w:t>采购组织机构</w:t>
      </w:r>
      <w:r>
        <w:rPr>
          <w:rFonts w:hint="eastAsia"/>
          <w:sz w:val="24"/>
          <w:szCs w:val="22"/>
          <w:highlight w:val="none"/>
        </w:rPr>
        <w:t>工作人员当众宣布投标人名称、投标价格和招标文件规定的需要宣布的其他内容（以开标一览表要求为准）；</w:t>
      </w:r>
    </w:p>
    <w:p w14:paraId="6C1F16B1">
      <w:pPr>
        <w:pStyle w:val="6"/>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5.公布开标结果。</w:t>
      </w:r>
    </w:p>
    <w:p w14:paraId="0FEAC045">
      <w:pPr>
        <w:pStyle w:val="6"/>
        <w:spacing w:line="360" w:lineRule="auto"/>
        <w:ind w:firstLine="482" w:firstLineChars="200"/>
        <w:rPr>
          <w:b/>
          <w:bCs/>
          <w:sz w:val="24"/>
          <w:szCs w:val="22"/>
          <w:highlight w:val="none"/>
        </w:rPr>
      </w:pPr>
      <w:r>
        <w:rPr>
          <w:rFonts w:hint="eastAsia"/>
          <w:b/>
          <w:bCs/>
          <w:sz w:val="24"/>
          <w:szCs w:val="22"/>
          <w:highlight w:val="none"/>
        </w:rPr>
        <w:t>（二）开标异议</w:t>
      </w:r>
    </w:p>
    <w:p w14:paraId="6352A379">
      <w:pPr>
        <w:pStyle w:val="6"/>
        <w:spacing w:line="360" w:lineRule="auto"/>
        <w:ind w:firstLine="480" w:firstLineChars="200"/>
        <w:rPr>
          <w:sz w:val="24"/>
          <w:szCs w:val="22"/>
          <w:highlight w:val="none"/>
        </w:rPr>
      </w:pPr>
      <w:r>
        <w:rPr>
          <w:rFonts w:hint="eastAsia"/>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09D6965B">
      <w:pPr>
        <w:pStyle w:val="6"/>
        <w:spacing w:line="360" w:lineRule="auto"/>
        <w:ind w:firstLine="482" w:firstLineChars="200"/>
        <w:rPr>
          <w:sz w:val="24"/>
          <w:szCs w:val="22"/>
          <w:highlight w:val="none"/>
        </w:rPr>
      </w:pPr>
      <w:r>
        <w:rPr>
          <w:rFonts w:hint="eastAsia"/>
          <w:b/>
          <w:bCs/>
          <w:sz w:val="24"/>
          <w:szCs w:val="22"/>
          <w:highlight w:val="none"/>
        </w:rPr>
        <w:t>（三）</w:t>
      </w:r>
      <w:r>
        <w:rPr>
          <w:rFonts w:hint="eastAsia"/>
          <w:sz w:val="24"/>
          <w:szCs w:val="22"/>
          <w:highlight w:val="none"/>
        </w:rPr>
        <w:t>投标人不足三家，不得开标。</w:t>
      </w:r>
    </w:p>
    <w:p w14:paraId="3B331086">
      <w:pPr>
        <w:pStyle w:val="11"/>
        <w:snapToGrid w:val="0"/>
        <w:spacing w:line="360" w:lineRule="auto"/>
        <w:ind w:firstLine="482" w:firstLineChars="200"/>
        <w:rPr>
          <w:rFonts w:asciiTheme="minorEastAsia" w:hAnsiTheme="minorEastAsia"/>
          <w:b/>
          <w:sz w:val="24"/>
          <w:highlight w:val="none"/>
        </w:rPr>
      </w:pPr>
      <w:r>
        <w:rPr>
          <w:rFonts w:hint="eastAsia" w:asciiTheme="minorEastAsia" w:hAnsiTheme="minorEastAsia" w:eastAsiaTheme="minorEastAsia"/>
          <w:b/>
          <w:sz w:val="24"/>
          <w:highlight w:val="none"/>
        </w:rPr>
        <w:t>五、评标（详见第四章）</w:t>
      </w:r>
    </w:p>
    <w:p w14:paraId="5A59D394">
      <w:pPr>
        <w:pStyle w:val="19"/>
        <w:spacing w:before="0" w:beforeAutospacing="0" w:after="0" w:afterAutospacing="0" w:line="360" w:lineRule="auto"/>
        <w:ind w:firstLine="482" w:firstLineChars="200"/>
        <w:jc w:val="both"/>
        <w:rPr>
          <w:rFonts w:hint="default" w:asciiTheme="minorEastAsia" w:hAnsiTheme="minorEastAsia" w:eastAsiaTheme="minorEastAsia"/>
          <w:b/>
          <w:highlight w:val="none"/>
        </w:rPr>
      </w:pPr>
      <w:r>
        <w:rPr>
          <w:rFonts w:asciiTheme="minorEastAsia" w:hAnsiTheme="minorEastAsia" w:eastAsiaTheme="minorEastAsia"/>
          <w:b/>
          <w:highlight w:val="none"/>
        </w:rPr>
        <w:t>六、定标</w:t>
      </w:r>
    </w:p>
    <w:p w14:paraId="429B086E">
      <w:pPr>
        <w:pStyle w:val="19"/>
        <w:spacing w:before="0" w:beforeAutospacing="0" w:after="0" w:afterAutospacing="0" w:line="360" w:lineRule="auto"/>
        <w:ind w:firstLine="482" w:firstLineChars="200"/>
        <w:jc w:val="both"/>
        <w:rPr>
          <w:rFonts w:hint="default"/>
          <w:b/>
          <w:bCs/>
          <w:highlight w:val="none"/>
        </w:rPr>
      </w:pPr>
      <w:r>
        <w:rPr>
          <w:rFonts w:asciiTheme="minorEastAsia" w:hAnsiTheme="minorEastAsia" w:eastAsiaTheme="minorEastAsia"/>
          <w:b/>
          <w:bCs/>
          <w:highlight w:val="none"/>
        </w:rPr>
        <w:t>（一）</w:t>
      </w:r>
      <w:r>
        <w:rPr>
          <w:b/>
          <w:bCs/>
          <w:highlight w:val="none"/>
        </w:rPr>
        <w:t>确定中标人</w:t>
      </w:r>
    </w:p>
    <w:p w14:paraId="6C648A54">
      <w:pPr>
        <w:spacing w:line="360" w:lineRule="auto"/>
        <w:ind w:firstLine="480" w:firstLineChars="200"/>
        <w:rPr>
          <w:rFonts w:ascii="宋体" w:hAnsi="宋体"/>
          <w:kern w:val="0"/>
          <w:sz w:val="24"/>
          <w:highlight w:val="none"/>
        </w:rPr>
      </w:pPr>
      <w:r>
        <w:rPr>
          <w:rFonts w:hint="eastAsia" w:ascii="宋体" w:hAnsi="宋体"/>
          <w:kern w:val="0"/>
          <w:sz w:val="24"/>
          <w:highlight w:val="none"/>
        </w:rPr>
        <w:t>采购人应确定排名第一的中标候选</w:t>
      </w:r>
      <w:r>
        <w:rPr>
          <w:rFonts w:hint="eastAsia" w:ascii="宋体" w:hAnsi="宋体"/>
          <w:kern w:val="0"/>
          <w:sz w:val="24"/>
          <w:highlight w:val="none"/>
          <w:lang w:eastAsia="zh-CN"/>
        </w:rPr>
        <w:t>人</w:t>
      </w:r>
      <w:r>
        <w:rPr>
          <w:rFonts w:hint="eastAsia" w:ascii="宋体" w:hAnsi="宋体"/>
          <w:kern w:val="0"/>
          <w:sz w:val="24"/>
          <w:highlight w:val="none"/>
        </w:rPr>
        <w:t>为</w:t>
      </w:r>
      <w:r>
        <w:rPr>
          <w:rFonts w:hint="eastAsia" w:ascii="宋体" w:hAnsi="宋体"/>
          <w:kern w:val="0"/>
          <w:sz w:val="24"/>
          <w:highlight w:val="none"/>
          <w:lang w:val="en-US" w:eastAsia="zh-CN"/>
        </w:rPr>
        <w:t>中标人</w:t>
      </w:r>
      <w:r>
        <w:rPr>
          <w:rFonts w:hint="eastAsia" w:ascii="宋体" w:hAnsi="宋体"/>
          <w:kern w:val="0"/>
          <w:sz w:val="24"/>
          <w:highlight w:val="none"/>
        </w:rPr>
        <w:t>，排名第一的中标候选</w:t>
      </w:r>
      <w:r>
        <w:rPr>
          <w:rFonts w:hint="eastAsia" w:ascii="宋体" w:hAnsi="宋体"/>
          <w:kern w:val="0"/>
          <w:sz w:val="24"/>
          <w:highlight w:val="none"/>
          <w:lang w:eastAsia="zh-CN"/>
        </w:rPr>
        <w:t>人</w:t>
      </w:r>
      <w:r>
        <w:rPr>
          <w:rFonts w:hint="eastAsia" w:ascii="宋体" w:hAnsi="宋体"/>
          <w:kern w:val="0"/>
          <w:sz w:val="24"/>
          <w:highlight w:val="none"/>
        </w:rPr>
        <w:t>放弃成交；或因不可抗力或自身原因提出不能履行合同；或未能在规定时间内与采购人签订合同的；或在规定时间内借故否认已经承诺的条件而拒签合同的；或已签合同却拒绝按合同约定履约的；或者经质疑，采购人审查后，确因排名第一的候选</w:t>
      </w:r>
      <w:r>
        <w:rPr>
          <w:rFonts w:hint="eastAsia" w:ascii="宋体" w:hAnsi="宋体"/>
          <w:kern w:val="0"/>
          <w:sz w:val="24"/>
          <w:highlight w:val="none"/>
          <w:lang w:eastAsia="zh-CN"/>
        </w:rPr>
        <w:t>人</w:t>
      </w:r>
      <w:r>
        <w:rPr>
          <w:rFonts w:hint="eastAsia" w:ascii="宋体" w:hAnsi="宋体"/>
          <w:kern w:val="0"/>
          <w:sz w:val="24"/>
          <w:highlight w:val="none"/>
        </w:rPr>
        <w:t>在本次采购活动中存在违法违规行为或其他原因使质疑成立的，采购人可视具体情况确定是否由排名第二的候选</w:t>
      </w:r>
      <w:r>
        <w:rPr>
          <w:rFonts w:hint="eastAsia" w:ascii="宋体" w:hAnsi="宋体"/>
          <w:kern w:val="0"/>
          <w:sz w:val="24"/>
          <w:highlight w:val="none"/>
          <w:lang w:eastAsia="zh-CN"/>
        </w:rPr>
        <w:t>人</w:t>
      </w:r>
      <w:r>
        <w:rPr>
          <w:rFonts w:hint="eastAsia" w:ascii="宋体" w:hAnsi="宋体"/>
          <w:kern w:val="0"/>
          <w:sz w:val="24"/>
          <w:highlight w:val="none"/>
        </w:rPr>
        <w:t>为中标</w:t>
      </w:r>
      <w:r>
        <w:rPr>
          <w:rFonts w:hint="eastAsia" w:ascii="宋体" w:hAnsi="宋体"/>
          <w:kern w:val="0"/>
          <w:sz w:val="24"/>
          <w:highlight w:val="none"/>
          <w:lang w:eastAsia="zh-CN"/>
        </w:rPr>
        <w:t>人</w:t>
      </w:r>
      <w:r>
        <w:rPr>
          <w:rFonts w:hint="eastAsia" w:ascii="宋体" w:hAnsi="宋体"/>
          <w:kern w:val="0"/>
          <w:sz w:val="24"/>
          <w:highlight w:val="none"/>
        </w:rPr>
        <w:t>。</w:t>
      </w:r>
    </w:p>
    <w:p w14:paraId="0B783909">
      <w:pPr>
        <w:spacing w:line="360" w:lineRule="auto"/>
        <w:ind w:firstLine="482" w:firstLineChars="200"/>
        <w:rPr>
          <w:rFonts w:ascii="宋体" w:hAnsi="宋体"/>
          <w:b/>
          <w:bCs/>
          <w:kern w:val="0"/>
          <w:sz w:val="24"/>
          <w:highlight w:val="none"/>
        </w:rPr>
      </w:pPr>
      <w:r>
        <w:rPr>
          <w:rFonts w:hint="eastAsia" w:asciiTheme="minorEastAsia" w:hAnsiTheme="minorEastAsia" w:eastAsiaTheme="minorEastAsia"/>
          <w:b/>
          <w:bCs/>
          <w:sz w:val="24"/>
          <w:highlight w:val="none"/>
        </w:rPr>
        <w:t>（二）</w:t>
      </w:r>
      <w:r>
        <w:rPr>
          <w:rFonts w:hint="eastAsia" w:ascii="宋体" w:hAnsi="宋体"/>
          <w:b/>
          <w:bCs/>
          <w:kern w:val="0"/>
          <w:sz w:val="24"/>
          <w:highlight w:val="none"/>
        </w:rPr>
        <w:t>发布</w:t>
      </w:r>
      <w:r>
        <w:rPr>
          <w:b/>
          <w:bCs/>
          <w:sz w:val="24"/>
          <w:highlight w:val="none"/>
        </w:rPr>
        <w:t>中标</w:t>
      </w:r>
      <w:r>
        <w:rPr>
          <w:rFonts w:hint="eastAsia" w:ascii="宋体" w:hAnsi="宋体"/>
          <w:b/>
          <w:bCs/>
          <w:kern w:val="0"/>
          <w:sz w:val="24"/>
          <w:highlight w:val="none"/>
        </w:rPr>
        <w:t>结果公告</w:t>
      </w:r>
    </w:p>
    <w:p w14:paraId="6A4DE84E">
      <w:pPr>
        <w:spacing w:line="360" w:lineRule="auto"/>
        <w:ind w:firstLine="480" w:firstLineChars="200"/>
        <w:rPr>
          <w:rFonts w:ascii="宋体" w:hAnsi="宋体"/>
          <w:kern w:val="0"/>
          <w:sz w:val="24"/>
          <w:highlight w:val="none"/>
        </w:rPr>
      </w:pPr>
      <w:r>
        <w:rPr>
          <w:rFonts w:hint="eastAsia" w:ascii="宋体" w:hAnsi="宋体"/>
          <w:kern w:val="0"/>
          <w:sz w:val="24"/>
          <w:highlight w:val="none"/>
        </w:rPr>
        <w:t>采购组织机构自中标人</w:t>
      </w:r>
      <w:r>
        <w:rPr>
          <w:rFonts w:ascii="宋体" w:hAnsi="宋体"/>
          <w:kern w:val="0"/>
          <w:sz w:val="24"/>
          <w:highlight w:val="none"/>
        </w:rPr>
        <w:t>确定</w:t>
      </w:r>
      <w:r>
        <w:rPr>
          <w:rFonts w:hint="eastAsia" w:ascii="宋体" w:hAnsi="宋体"/>
          <w:kern w:val="0"/>
          <w:sz w:val="24"/>
          <w:highlight w:val="none"/>
        </w:rPr>
        <w:t>之日起</w:t>
      </w:r>
      <w:r>
        <w:rPr>
          <w:rFonts w:ascii="宋体" w:hAnsi="宋体"/>
          <w:kern w:val="0"/>
          <w:sz w:val="24"/>
          <w:highlight w:val="none"/>
        </w:rPr>
        <w:t>2个工作日内</w:t>
      </w:r>
      <w:r>
        <w:rPr>
          <w:rFonts w:hint="eastAsia" w:ascii="宋体" w:hAnsi="宋体"/>
          <w:kern w:val="0"/>
          <w:sz w:val="24"/>
          <w:highlight w:val="none"/>
        </w:rPr>
        <w:t>，</w:t>
      </w:r>
      <w:r>
        <w:rPr>
          <w:rFonts w:ascii="宋体" w:hAnsi="宋体"/>
          <w:kern w:val="0"/>
          <w:sz w:val="24"/>
          <w:highlight w:val="none"/>
        </w:rPr>
        <w:t>在</w:t>
      </w:r>
      <w:r>
        <w:rPr>
          <w:rFonts w:hint="eastAsia" w:ascii="宋体" w:hAnsi="宋体"/>
          <w:kern w:val="0"/>
          <w:sz w:val="24"/>
          <w:highlight w:val="none"/>
        </w:rPr>
        <w:t>台州市智慧招采云平台上</w:t>
      </w:r>
      <w:r>
        <w:rPr>
          <w:rFonts w:ascii="宋体" w:hAnsi="宋体"/>
          <w:kern w:val="0"/>
          <w:sz w:val="24"/>
          <w:highlight w:val="none"/>
        </w:rPr>
        <w:t>公告</w:t>
      </w:r>
      <w:r>
        <w:rPr>
          <w:rFonts w:hint="eastAsia" w:ascii="宋体" w:hAnsi="宋体"/>
          <w:kern w:val="0"/>
          <w:sz w:val="24"/>
          <w:highlight w:val="none"/>
        </w:rPr>
        <w:t>中标结果，</w:t>
      </w:r>
      <w:r>
        <w:rPr>
          <w:sz w:val="24"/>
          <w:highlight w:val="none"/>
        </w:rPr>
        <w:t>中标结果公告期为</w:t>
      </w:r>
      <w:r>
        <w:rPr>
          <w:rFonts w:hint="eastAsia"/>
          <w:sz w:val="24"/>
          <w:highlight w:val="none"/>
        </w:rPr>
        <w:t>1</w:t>
      </w:r>
      <w:r>
        <w:rPr>
          <w:sz w:val="24"/>
          <w:highlight w:val="none"/>
        </w:rPr>
        <w:t>个工作日</w:t>
      </w:r>
      <w:r>
        <w:rPr>
          <w:rFonts w:hint="eastAsia" w:ascii="宋体" w:hAnsi="宋体"/>
          <w:kern w:val="0"/>
          <w:sz w:val="24"/>
          <w:highlight w:val="none"/>
        </w:rPr>
        <w:t>。</w:t>
      </w:r>
    </w:p>
    <w:p w14:paraId="782890F9">
      <w:pPr>
        <w:pStyle w:val="7"/>
        <w:numPr>
          <w:ilvl w:val="0"/>
          <w:numId w:val="7"/>
        </w:numPr>
        <w:spacing w:line="360" w:lineRule="auto"/>
        <w:ind w:firstLine="482" w:firstLineChars="200"/>
        <w:jc w:val="both"/>
        <w:rPr>
          <w:b/>
          <w:bCs/>
          <w:sz w:val="24"/>
          <w:highlight w:val="none"/>
        </w:rPr>
      </w:pPr>
      <w:r>
        <w:rPr>
          <w:rFonts w:hint="eastAsia"/>
          <w:b/>
          <w:bCs/>
          <w:sz w:val="24"/>
          <w:highlight w:val="none"/>
        </w:rPr>
        <w:t>发放中标通知书</w:t>
      </w:r>
    </w:p>
    <w:p w14:paraId="57B05E50">
      <w:pPr>
        <w:pStyle w:val="7"/>
        <w:spacing w:line="360" w:lineRule="auto"/>
        <w:ind w:firstLine="420" w:firstLineChars="175"/>
        <w:jc w:val="both"/>
        <w:rPr>
          <w:highlight w:val="none"/>
        </w:rPr>
      </w:pPr>
      <w:r>
        <w:rPr>
          <w:rFonts w:hint="eastAsia" w:ascii="宋体" w:hAnsi="宋体"/>
          <w:kern w:val="0"/>
          <w:sz w:val="24"/>
          <w:highlight w:val="none"/>
        </w:rPr>
        <w:t>采购组织机构在发布中标结果公告的同时，</w:t>
      </w:r>
      <w:r>
        <w:rPr>
          <w:rFonts w:hint="eastAsia"/>
          <w:sz w:val="24"/>
          <w:highlight w:val="none"/>
        </w:rPr>
        <w:t>通过台州市智慧招采云平台</w:t>
      </w:r>
      <w:r>
        <w:rPr>
          <w:rFonts w:hint="eastAsia" w:ascii="宋体" w:hAnsi="宋体"/>
          <w:kern w:val="0"/>
          <w:sz w:val="24"/>
          <w:highlight w:val="none"/>
        </w:rPr>
        <w:t>向中标人发出中标通知书。</w:t>
      </w:r>
    </w:p>
    <w:p w14:paraId="7D43CA4B">
      <w:pPr>
        <w:spacing w:line="360" w:lineRule="auto"/>
        <w:ind w:firstLine="482" w:firstLineChars="200"/>
        <w:rPr>
          <w:rFonts w:ascii="宋体" w:hAnsi="宋体"/>
          <w:kern w:val="0"/>
          <w:sz w:val="24"/>
          <w:highlight w:val="none"/>
        </w:rPr>
      </w:pP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w:t>
      </w:r>
      <w:r>
        <w:rPr>
          <w:rFonts w:hint="eastAsia" w:ascii="宋体" w:hAnsi="宋体"/>
          <w:b/>
          <w:kern w:val="0"/>
          <w:sz w:val="24"/>
          <w:highlight w:val="none"/>
        </w:rPr>
        <w:t>合同签订及公告</w:t>
      </w:r>
    </w:p>
    <w:p w14:paraId="522E4F6E">
      <w:pPr>
        <w:spacing w:line="360" w:lineRule="auto"/>
        <w:ind w:firstLine="482" w:firstLineChars="200"/>
        <w:rPr>
          <w:rFonts w:ascii="宋体" w:hAnsi="宋体"/>
          <w:b/>
          <w:kern w:val="0"/>
          <w:sz w:val="24"/>
          <w:highlight w:val="none"/>
        </w:rPr>
      </w:pPr>
      <w:r>
        <w:rPr>
          <w:rFonts w:hint="eastAsia" w:ascii="宋体" w:hAnsi="宋体"/>
          <w:b/>
          <w:sz w:val="24"/>
          <w:highlight w:val="none"/>
        </w:rPr>
        <w:t>（一）签订合同</w:t>
      </w:r>
    </w:p>
    <w:p w14:paraId="01B46C9B">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38EE8CE2">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2.采购人不得向中标人提出任何不合理的要求作为签订合同的条件。</w:t>
      </w:r>
    </w:p>
    <w:p w14:paraId="28CC0E17">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3.中标人无故拖延、拒签合同的，将取消中标资格。</w:t>
      </w:r>
    </w:p>
    <w:p w14:paraId="42A36589">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4.中标人拒绝与采购人签订合同的，采购人可以按照评标报告推荐的中标候选人名单排序，确定下一候选人为中标人，也可以重新开展采购活动。</w:t>
      </w:r>
    </w:p>
    <w:p w14:paraId="4CC2BE73">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5.询问或者质疑事项可能影响中标结果的，采购人应当暂停签订合同，已经签订合同的，应当中止履行合同。</w:t>
      </w:r>
    </w:p>
    <w:p w14:paraId="543DA693">
      <w:pPr>
        <w:pStyle w:val="7"/>
        <w:spacing w:line="360" w:lineRule="auto"/>
        <w:ind w:firstLine="482" w:firstLineChars="200"/>
        <w:jc w:val="both"/>
        <w:rPr>
          <w:rFonts w:ascii="宋体" w:hAnsi="宋体"/>
          <w:b/>
          <w:bCs/>
          <w:sz w:val="24"/>
          <w:highlight w:val="none"/>
        </w:rPr>
      </w:pPr>
      <w:r>
        <w:rPr>
          <w:rFonts w:hint="eastAsia" w:ascii="宋体" w:hAnsi="宋体"/>
          <w:b/>
          <w:bCs/>
          <w:sz w:val="24"/>
          <w:highlight w:val="none"/>
        </w:rPr>
        <w:t>八、询问、质疑与投诉</w:t>
      </w:r>
    </w:p>
    <w:p w14:paraId="6556BFEF">
      <w:pPr>
        <w:pStyle w:val="7"/>
        <w:spacing w:line="360" w:lineRule="auto"/>
        <w:ind w:firstLine="482" w:firstLineChars="200"/>
        <w:jc w:val="both"/>
        <w:rPr>
          <w:rFonts w:ascii="宋体" w:hAnsi="宋体"/>
          <w:b/>
          <w:bCs/>
          <w:sz w:val="24"/>
          <w:highlight w:val="none"/>
        </w:rPr>
      </w:pPr>
      <w:r>
        <w:rPr>
          <w:rFonts w:hint="eastAsia" w:ascii="宋体" w:hAnsi="宋体"/>
          <w:b/>
          <w:bCs/>
          <w:sz w:val="24"/>
          <w:highlight w:val="none"/>
        </w:rPr>
        <w:t>（一）询问</w:t>
      </w:r>
    </w:p>
    <w:p w14:paraId="53A5DDFC">
      <w:pPr>
        <w:pStyle w:val="7"/>
        <w:spacing w:line="360" w:lineRule="auto"/>
        <w:ind w:firstLine="480" w:firstLineChars="200"/>
        <w:jc w:val="both"/>
        <w:rPr>
          <w:rFonts w:ascii="宋体" w:hAnsi="宋体"/>
          <w:sz w:val="24"/>
          <w:highlight w:val="none"/>
        </w:rPr>
      </w:pPr>
      <w:r>
        <w:rPr>
          <w:rFonts w:hint="eastAsia" w:ascii="宋体" w:hAnsi="宋体"/>
          <w:sz w:val="24"/>
          <w:highlight w:val="none"/>
        </w:rPr>
        <w:t>投标人对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693A9749">
      <w:pPr>
        <w:pStyle w:val="7"/>
        <w:spacing w:line="360" w:lineRule="auto"/>
        <w:ind w:firstLine="482" w:firstLineChars="200"/>
        <w:jc w:val="both"/>
        <w:rPr>
          <w:rFonts w:ascii="宋体" w:hAnsi="宋体"/>
          <w:b/>
          <w:bCs/>
          <w:sz w:val="24"/>
          <w:highlight w:val="none"/>
        </w:rPr>
      </w:pPr>
      <w:r>
        <w:rPr>
          <w:rFonts w:hint="eastAsia" w:ascii="宋体" w:hAnsi="宋体"/>
          <w:b/>
          <w:bCs/>
          <w:sz w:val="24"/>
          <w:highlight w:val="none"/>
        </w:rPr>
        <w:t>（二）质疑</w:t>
      </w:r>
    </w:p>
    <w:p w14:paraId="21EC841C">
      <w:pPr>
        <w:pStyle w:val="7"/>
        <w:spacing w:line="360" w:lineRule="auto"/>
        <w:ind w:firstLine="480" w:firstLineChars="200"/>
        <w:jc w:val="both"/>
        <w:rPr>
          <w:rFonts w:ascii="宋体" w:hAnsi="宋体"/>
          <w:sz w:val="24"/>
          <w:highlight w:val="none"/>
        </w:rPr>
      </w:pPr>
      <w:r>
        <w:rPr>
          <w:rFonts w:hint="eastAsia" w:ascii="宋体" w:hAnsi="宋体"/>
          <w:sz w:val="24"/>
          <w:highlight w:val="none"/>
        </w:rPr>
        <w:t>1.报名本项目的投标人认为招标文件、采购过程和中标结果使自己的权益受到损害的，通过台州市智慧招采云平台的质疑系统一次性向采购人或采购组织机构提出质疑：</w:t>
      </w:r>
    </w:p>
    <w:p w14:paraId="0DE84291">
      <w:pPr>
        <w:pStyle w:val="7"/>
        <w:spacing w:line="360" w:lineRule="auto"/>
        <w:ind w:firstLine="480" w:firstLineChars="200"/>
        <w:jc w:val="both"/>
        <w:rPr>
          <w:rFonts w:ascii="宋体" w:hAnsi="宋体"/>
          <w:sz w:val="24"/>
          <w:highlight w:val="none"/>
        </w:rPr>
      </w:pPr>
      <w:r>
        <w:rPr>
          <w:rFonts w:hint="eastAsia" w:ascii="宋体" w:hAnsi="宋体"/>
          <w:sz w:val="24"/>
          <w:highlight w:val="none"/>
        </w:rPr>
        <w:t>（1）投标人认为招标文件的内容损害其权益的，应当自获取之日起（获取截止日之后收到招标文件的，以获取截止日为准）7个工作日内提出质疑；</w:t>
      </w:r>
    </w:p>
    <w:p w14:paraId="163117D5">
      <w:pPr>
        <w:pStyle w:val="7"/>
        <w:spacing w:line="360" w:lineRule="auto"/>
        <w:ind w:firstLine="480" w:firstLineChars="200"/>
        <w:jc w:val="both"/>
        <w:rPr>
          <w:rFonts w:ascii="宋体" w:hAnsi="宋体"/>
          <w:sz w:val="24"/>
          <w:highlight w:val="none"/>
        </w:rPr>
      </w:pPr>
      <w:r>
        <w:rPr>
          <w:rFonts w:hint="eastAsia" w:ascii="宋体" w:hAnsi="宋体"/>
          <w:sz w:val="24"/>
          <w:highlight w:val="none"/>
        </w:rPr>
        <w:t>（2）投标人对采购过程提出质疑的，应当在各采购程序环节结束之日起7个工作日内提出质疑；</w:t>
      </w:r>
    </w:p>
    <w:p w14:paraId="0BAEBB2C">
      <w:pPr>
        <w:pStyle w:val="7"/>
        <w:spacing w:line="360" w:lineRule="auto"/>
        <w:ind w:firstLine="480" w:firstLineChars="200"/>
        <w:jc w:val="both"/>
        <w:rPr>
          <w:rFonts w:ascii="宋体" w:hAnsi="宋体"/>
          <w:sz w:val="24"/>
          <w:highlight w:val="none"/>
        </w:rPr>
      </w:pPr>
      <w:r>
        <w:rPr>
          <w:rFonts w:hint="eastAsia" w:ascii="宋体" w:hAnsi="宋体"/>
          <w:sz w:val="24"/>
          <w:highlight w:val="none"/>
        </w:rPr>
        <w:t>（3）投标人对中标结果提出质疑的，应当在中标结果公告期限届满之日起7个工作日内提出质疑。</w:t>
      </w:r>
    </w:p>
    <w:p w14:paraId="6C989E17">
      <w:pPr>
        <w:pStyle w:val="7"/>
        <w:spacing w:line="360" w:lineRule="auto"/>
        <w:ind w:firstLine="480" w:firstLineChars="200"/>
        <w:jc w:val="both"/>
        <w:rPr>
          <w:rFonts w:ascii="宋体" w:hAnsi="宋体"/>
          <w:sz w:val="24"/>
          <w:highlight w:val="none"/>
        </w:rPr>
      </w:pPr>
      <w:r>
        <w:rPr>
          <w:rFonts w:hint="eastAsia" w:ascii="宋体" w:hAnsi="宋体"/>
          <w:sz w:val="24"/>
          <w:highlight w:val="none"/>
        </w:rPr>
        <w:t>2.采购人或采购组织机构在收到投标人的书面质疑后7个工作日内作出答复，并以书面形式或台州市智慧招采云平台回复质疑投标人和其他有关投标人，但答复内容不涉及商业秘密。</w:t>
      </w:r>
    </w:p>
    <w:p w14:paraId="6C394929">
      <w:pPr>
        <w:pStyle w:val="7"/>
        <w:spacing w:line="360" w:lineRule="auto"/>
        <w:ind w:firstLine="480" w:firstLineChars="200"/>
        <w:jc w:val="both"/>
        <w:rPr>
          <w:rFonts w:ascii="宋体" w:hAnsi="宋体"/>
          <w:sz w:val="24"/>
          <w:highlight w:val="none"/>
        </w:rPr>
      </w:pPr>
      <w:r>
        <w:rPr>
          <w:rFonts w:hint="eastAsia" w:ascii="宋体" w:hAnsi="宋体"/>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D7F690B">
      <w:pPr>
        <w:pStyle w:val="7"/>
        <w:spacing w:line="360" w:lineRule="auto"/>
        <w:ind w:firstLine="482" w:firstLineChars="200"/>
        <w:jc w:val="both"/>
        <w:rPr>
          <w:rFonts w:ascii="宋体" w:hAnsi="宋体"/>
          <w:b/>
          <w:bCs/>
          <w:sz w:val="24"/>
          <w:highlight w:val="none"/>
        </w:rPr>
      </w:pPr>
      <w:r>
        <w:rPr>
          <w:rFonts w:hint="eastAsia" w:ascii="宋体" w:hAnsi="宋体"/>
          <w:b/>
          <w:bCs/>
          <w:sz w:val="24"/>
          <w:highlight w:val="none"/>
        </w:rPr>
        <w:t>（三）投诉</w:t>
      </w:r>
    </w:p>
    <w:p w14:paraId="540C4388">
      <w:pPr>
        <w:pStyle w:val="7"/>
        <w:spacing w:line="360" w:lineRule="auto"/>
        <w:ind w:firstLine="480" w:firstLineChars="200"/>
        <w:jc w:val="both"/>
        <w:rPr>
          <w:rFonts w:ascii="宋体" w:hAnsi="宋体"/>
          <w:sz w:val="24"/>
          <w:highlight w:val="none"/>
        </w:rPr>
      </w:pPr>
      <w:r>
        <w:rPr>
          <w:rFonts w:hint="eastAsia" w:ascii="宋体" w:hAnsi="宋体"/>
          <w:sz w:val="24"/>
          <w:highlight w:val="none"/>
        </w:rPr>
        <w:t>投标人对采购人或采购组织机构的质疑答复不满意或在规定时间内未得到答复的，可以在答复期满后15个工作日内，向招标单位投诉。</w:t>
      </w:r>
    </w:p>
    <w:p w14:paraId="45A04CE4">
      <w:pPr>
        <w:pStyle w:val="7"/>
        <w:spacing w:line="360" w:lineRule="auto"/>
        <w:ind w:firstLine="480" w:firstLineChars="200"/>
        <w:jc w:val="both"/>
        <w:rPr>
          <w:rFonts w:asciiTheme="minorEastAsia" w:hAnsiTheme="minorEastAsia" w:eastAsiaTheme="minorEastAsia"/>
          <w:b/>
          <w:sz w:val="36"/>
          <w:szCs w:val="36"/>
          <w:highlight w:val="none"/>
        </w:rPr>
      </w:pPr>
      <w:r>
        <w:rPr>
          <w:rFonts w:hint="eastAsia" w:ascii="宋体" w:hAnsi="宋体"/>
          <w:sz w:val="24"/>
          <w:highlight w:val="none"/>
        </w:rPr>
        <w:br w:type="page"/>
      </w:r>
    </w:p>
    <w:p w14:paraId="74D76EB5">
      <w:pPr>
        <w:numPr>
          <w:ilvl w:val="0"/>
          <w:numId w:val="4"/>
        </w:numPr>
        <w:spacing w:line="360" w:lineRule="auto"/>
        <w:jc w:val="center"/>
        <w:rPr>
          <w:rFonts w:asciiTheme="minorEastAsia" w:hAnsiTheme="minorEastAsia" w:eastAsiaTheme="minorEastAsia"/>
          <w:b/>
          <w:sz w:val="36"/>
          <w:szCs w:val="36"/>
          <w:highlight w:val="none"/>
        </w:rPr>
      </w:pPr>
      <w:bookmarkStart w:id="39" w:name="_Toc13072_WPSOffice_Level1"/>
      <w:r>
        <w:rPr>
          <w:rFonts w:hint="eastAsia" w:asciiTheme="minorEastAsia" w:hAnsiTheme="minorEastAsia" w:eastAsiaTheme="minorEastAsia"/>
          <w:b/>
          <w:sz w:val="36"/>
          <w:szCs w:val="36"/>
          <w:highlight w:val="none"/>
        </w:rPr>
        <w:t>招标需求</w:t>
      </w:r>
      <w:bookmarkEnd w:id="39"/>
    </w:p>
    <w:p w14:paraId="56F5897B">
      <w:pPr>
        <w:snapToGrid w:val="0"/>
        <w:spacing w:line="360" w:lineRule="auto"/>
        <w:ind w:firstLine="482" w:firstLineChars="200"/>
        <w:rPr>
          <w:rFonts w:ascii="宋体" w:hAnsi="宋体" w:cs="宋体"/>
          <w:b/>
          <w:bCs/>
          <w:sz w:val="24"/>
          <w:highlight w:val="none"/>
        </w:rPr>
      </w:pPr>
      <w:bookmarkStart w:id="40" w:name="_Toc31173_WPSOffice_Level1"/>
      <w:r>
        <w:rPr>
          <w:rFonts w:hint="eastAsia" w:ascii="宋体" w:hAnsi="宋体" w:cs="宋体"/>
          <w:b/>
          <w:bCs/>
          <w:sz w:val="24"/>
          <w:highlight w:val="none"/>
        </w:rPr>
        <w:t>一、项目基本概况</w:t>
      </w:r>
    </w:p>
    <w:p w14:paraId="5C35CFB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Theme="minorEastAsia" w:hAnsiTheme="minorEastAsia" w:eastAsiaTheme="minorEastAsia" w:cstheme="minorEastAsia"/>
          <w:sz w:val="24"/>
          <w:highlight w:val="none"/>
        </w:rPr>
        <w:t>浙江金豹运业有限公司</w:t>
      </w:r>
      <w:r>
        <w:rPr>
          <w:rFonts w:hint="eastAsia" w:ascii="宋体" w:hAnsi="宋体" w:cs="宋体"/>
          <w:sz w:val="24"/>
          <w:highlight w:val="none"/>
        </w:rPr>
        <w:t>】（被保险人）的车辆均纳入本次车辆保险集中采购范围，主要服务内容包括自项目合同签订之日起12个月内，</w:t>
      </w:r>
      <w:r>
        <w:rPr>
          <w:rFonts w:hint="eastAsia" w:asciiTheme="minorEastAsia" w:hAnsiTheme="minorEastAsia" w:eastAsiaTheme="minorEastAsia" w:cstheme="minorEastAsia"/>
          <w:sz w:val="24"/>
          <w:highlight w:val="none"/>
        </w:rPr>
        <w:t>浙江金豹运业有限公司</w:t>
      </w:r>
      <w:r>
        <w:rPr>
          <w:rFonts w:hint="eastAsia" w:ascii="宋体" w:hAnsi="宋体" w:cs="宋体"/>
          <w:sz w:val="24"/>
          <w:highlight w:val="none"/>
        </w:rPr>
        <w:t>的现有及新增车辆的机动车交通事故责任强制险、车辆代收车船税、机动车商业保险及理赔服务，拟投保车辆总数暂估为</w:t>
      </w:r>
      <w:r>
        <w:rPr>
          <w:rFonts w:hint="eastAsia" w:ascii="宋体" w:hAnsi="宋体" w:cs="宋体"/>
          <w:sz w:val="24"/>
          <w:highlight w:val="none"/>
          <w:u w:val="single"/>
        </w:rPr>
        <w:t xml:space="preserve"> 51 </w:t>
      </w:r>
      <w:r>
        <w:rPr>
          <w:rFonts w:hint="eastAsia" w:ascii="宋体" w:hAnsi="宋体" w:cs="宋体"/>
          <w:sz w:val="24"/>
          <w:highlight w:val="none"/>
        </w:rPr>
        <w:t>辆</w:t>
      </w:r>
      <w:r>
        <w:rPr>
          <w:rFonts w:hint="eastAsia" w:ascii="宋体" w:hAnsi="宋体" w:cs="宋体"/>
          <w:bCs/>
          <w:sz w:val="24"/>
          <w:highlight w:val="none"/>
        </w:rPr>
        <w:t>机动车</w:t>
      </w:r>
      <w:r>
        <w:rPr>
          <w:rFonts w:hint="eastAsia" w:ascii="宋体" w:hAnsi="宋体" w:cs="宋体"/>
          <w:sz w:val="24"/>
          <w:highlight w:val="none"/>
        </w:rPr>
        <w:t>。最终投保机动车的数量以浙江金豹运业有限公司实际采购并参保的数量为准。</w:t>
      </w:r>
    </w:p>
    <w:p w14:paraId="1BCFFAA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投保办理、保单签订与履约：由【浙江金豹运业有限公司】（被保险人）根据本章车辆保险约定的内容确定险种、额度并与保险公司签订保险合同，并由保险公司出具保单，【浙江金豹运业有限公司】（被保险人）与保险公司按签订的保险合同履约。</w:t>
      </w:r>
    </w:p>
    <w:p w14:paraId="38EB924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3、服务期限：3年，自本项目合同签订生效之日起12个月满且本项目合同遗留保险理赔案件处理完成为止（合同1年1签）。</w:t>
      </w:r>
    </w:p>
    <w:p w14:paraId="1E18443B">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二、车辆保险基本要求</w:t>
      </w:r>
    </w:p>
    <w:p w14:paraId="43EC655E">
      <w:pPr>
        <w:pStyle w:val="11"/>
        <w:numPr>
          <w:ilvl w:val="0"/>
          <w:numId w:val="8"/>
        </w:numPr>
        <w:snapToGrid w:val="0"/>
        <w:spacing w:before="156" w:after="156" w:line="360" w:lineRule="auto"/>
        <w:outlineLvl w:val="0"/>
        <w:rPr>
          <w:rFonts w:hAnsi="宋体" w:cs="宋体"/>
          <w:b/>
          <w:bCs/>
          <w:sz w:val="24"/>
          <w:highlight w:val="none"/>
        </w:rPr>
      </w:pPr>
      <w:bookmarkStart w:id="41" w:name="_Toc6022"/>
      <w:r>
        <w:rPr>
          <w:rFonts w:hint="eastAsia" w:hAnsi="宋体" w:cs="宋体"/>
          <w:b/>
          <w:bCs/>
          <w:sz w:val="24"/>
          <w:highlight w:val="none"/>
        </w:rPr>
        <w:t>浙江金豹运业有限公司机动车交通事故责任强制险责任限额约定</w:t>
      </w:r>
      <w:bookmarkEnd w:id="41"/>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4830"/>
        <w:gridCol w:w="2820"/>
      </w:tblGrid>
      <w:tr w14:paraId="2F68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5ACAB5BA">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编号</w:t>
            </w:r>
          </w:p>
        </w:tc>
        <w:tc>
          <w:tcPr>
            <w:tcW w:w="4830" w:type="dxa"/>
            <w:vAlign w:val="center"/>
          </w:tcPr>
          <w:p w14:paraId="758276F1">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险种名称</w:t>
            </w:r>
          </w:p>
        </w:tc>
        <w:tc>
          <w:tcPr>
            <w:tcW w:w="2820" w:type="dxa"/>
            <w:vAlign w:val="center"/>
          </w:tcPr>
          <w:p w14:paraId="3D8B1D0D">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责任限额（元）</w:t>
            </w:r>
          </w:p>
        </w:tc>
      </w:tr>
      <w:tr w14:paraId="21EC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2ECC6A79">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1</w:t>
            </w:r>
          </w:p>
        </w:tc>
        <w:tc>
          <w:tcPr>
            <w:tcW w:w="4830" w:type="dxa"/>
            <w:vAlign w:val="center"/>
          </w:tcPr>
          <w:p w14:paraId="21797835">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死亡伤残赔偿责任险</w:t>
            </w:r>
          </w:p>
        </w:tc>
        <w:tc>
          <w:tcPr>
            <w:tcW w:w="2820" w:type="dxa"/>
            <w:vAlign w:val="center"/>
          </w:tcPr>
          <w:p w14:paraId="1722F386">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180000</w:t>
            </w:r>
          </w:p>
        </w:tc>
      </w:tr>
      <w:tr w14:paraId="3458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14CE62A2">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2</w:t>
            </w:r>
          </w:p>
        </w:tc>
        <w:tc>
          <w:tcPr>
            <w:tcW w:w="4830" w:type="dxa"/>
            <w:vAlign w:val="center"/>
          </w:tcPr>
          <w:p w14:paraId="3F021C80">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医疗费用赔偿责任险</w:t>
            </w:r>
          </w:p>
        </w:tc>
        <w:tc>
          <w:tcPr>
            <w:tcW w:w="2820" w:type="dxa"/>
            <w:vAlign w:val="center"/>
          </w:tcPr>
          <w:p w14:paraId="58161035">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w:t>
            </w:r>
          </w:p>
        </w:tc>
      </w:tr>
      <w:tr w14:paraId="2D7B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5A4C4BC9">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3</w:t>
            </w:r>
          </w:p>
        </w:tc>
        <w:tc>
          <w:tcPr>
            <w:tcW w:w="4830" w:type="dxa"/>
            <w:vAlign w:val="center"/>
          </w:tcPr>
          <w:p w14:paraId="1D78FCD7">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财产损失赔偿责任险</w:t>
            </w:r>
          </w:p>
        </w:tc>
        <w:tc>
          <w:tcPr>
            <w:tcW w:w="2820" w:type="dxa"/>
            <w:vAlign w:val="center"/>
          </w:tcPr>
          <w:p w14:paraId="4B60DD63">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2000</w:t>
            </w:r>
          </w:p>
        </w:tc>
      </w:tr>
      <w:tr w14:paraId="7CAE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9" w:type="dxa"/>
            <w:vAlign w:val="center"/>
          </w:tcPr>
          <w:p w14:paraId="0DFD3CD0">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4</w:t>
            </w:r>
          </w:p>
        </w:tc>
        <w:tc>
          <w:tcPr>
            <w:tcW w:w="4830" w:type="dxa"/>
            <w:vAlign w:val="center"/>
          </w:tcPr>
          <w:p w14:paraId="6B6E8122">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无责任死亡伤残赔偿责任险</w:t>
            </w:r>
          </w:p>
        </w:tc>
        <w:tc>
          <w:tcPr>
            <w:tcW w:w="2820" w:type="dxa"/>
            <w:vAlign w:val="center"/>
          </w:tcPr>
          <w:p w14:paraId="3C4AE2F8">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w:t>
            </w:r>
          </w:p>
        </w:tc>
      </w:tr>
      <w:tr w14:paraId="41F9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9" w:type="dxa"/>
            <w:vAlign w:val="center"/>
          </w:tcPr>
          <w:p w14:paraId="4DE5C136">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5</w:t>
            </w:r>
          </w:p>
        </w:tc>
        <w:tc>
          <w:tcPr>
            <w:tcW w:w="4830" w:type="dxa"/>
            <w:vAlign w:val="center"/>
          </w:tcPr>
          <w:p w14:paraId="2E32D7D7">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无责任医疗费用赔偿责任险</w:t>
            </w:r>
          </w:p>
        </w:tc>
        <w:tc>
          <w:tcPr>
            <w:tcW w:w="2820" w:type="dxa"/>
            <w:vAlign w:val="center"/>
          </w:tcPr>
          <w:p w14:paraId="38CB1C65">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w:t>
            </w:r>
          </w:p>
        </w:tc>
      </w:tr>
      <w:tr w14:paraId="6B0D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5BACDDA2">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6</w:t>
            </w:r>
          </w:p>
        </w:tc>
        <w:tc>
          <w:tcPr>
            <w:tcW w:w="4830" w:type="dxa"/>
            <w:vAlign w:val="center"/>
          </w:tcPr>
          <w:p w14:paraId="77256B94">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无责任财产损失赔偿责任险</w:t>
            </w:r>
          </w:p>
        </w:tc>
        <w:tc>
          <w:tcPr>
            <w:tcW w:w="2820" w:type="dxa"/>
            <w:vAlign w:val="center"/>
          </w:tcPr>
          <w:p w14:paraId="2DCFB784">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100</w:t>
            </w:r>
          </w:p>
        </w:tc>
      </w:tr>
    </w:tbl>
    <w:p w14:paraId="5AA29667">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浙江金豹运业有限公司机动车交通事故责任强制险根据《机动车交通事故责任强制保险条例》规定，按照机动车交通事故责任强制保险基础费率执行，根据保险责任事故赔偿次数等给予最低优惠。</w:t>
      </w:r>
    </w:p>
    <w:p w14:paraId="5B3CA1A9">
      <w:pPr>
        <w:snapToGrid w:val="0"/>
        <w:spacing w:line="360" w:lineRule="auto"/>
        <w:rPr>
          <w:rFonts w:ascii="宋体" w:hAnsi="宋体" w:cs="宋体"/>
          <w:b/>
          <w:bCs/>
          <w:sz w:val="24"/>
          <w:highlight w:val="none"/>
        </w:rPr>
      </w:pPr>
      <w:r>
        <w:rPr>
          <w:rFonts w:hint="eastAsia" w:ascii="宋体" w:hAnsi="宋体" w:cs="宋体"/>
          <w:b/>
          <w:bCs/>
          <w:sz w:val="24"/>
          <w:highlight w:val="none"/>
        </w:rPr>
        <w:t>2、浙江金豹运业有限公司机动车车辆代收车船税</w:t>
      </w:r>
    </w:p>
    <w:p w14:paraId="6539F2BC">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根据中国保险监督管理委员会下发的《关于修改机动车交通事故责任强制保险保单的通知》（保监产险[2007]501号）文件精神，在机动车交通事故责任强制保险（以下简称“交强险”）保单中增加与车船税有关的数据项目。浙江金豹运业有限公司机动车车辆代收车船税的具体适用税额按照国家及浙江省相关规定的子税目税额幅度内确定按实结算。</w:t>
      </w:r>
    </w:p>
    <w:p w14:paraId="10B616E0">
      <w:pPr>
        <w:pStyle w:val="11"/>
        <w:snapToGrid w:val="0"/>
        <w:spacing w:before="156" w:after="156" w:line="360" w:lineRule="auto"/>
        <w:outlineLvl w:val="0"/>
        <w:rPr>
          <w:rFonts w:hAnsi="宋体" w:cs="宋体"/>
          <w:b/>
          <w:bCs/>
          <w:sz w:val="24"/>
          <w:highlight w:val="none"/>
        </w:rPr>
      </w:pPr>
      <w:bookmarkStart w:id="42" w:name="_Toc24803"/>
      <w:r>
        <w:rPr>
          <w:rFonts w:hint="eastAsia" w:hAnsi="宋体" w:cs="宋体"/>
          <w:b/>
          <w:bCs/>
          <w:sz w:val="24"/>
          <w:highlight w:val="none"/>
        </w:rPr>
        <w:t>3、浙江金豹运业有限公司车辆商业保险责任限额约定</w:t>
      </w:r>
      <w:bookmarkEnd w:id="42"/>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4050"/>
        <w:gridCol w:w="3120"/>
      </w:tblGrid>
      <w:tr w14:paraId="48E1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95" w:type="dxa"/>
            <w:vAlign w:val="center"/>
          </w:tcPr>
          <w:p w14:paraId="65AC5F62">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编号</w:t>
            </w:r>
          </w:p>
        </w:tc>
        <w:tc>
          <w:tcPr>
            <w:tcW w:w="4050" w:type="dxa"/>
            <w:vAlign w:val="center"/>
          </w:tcPr>
          <w:p w14:paraId="6D859B9B">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承保险种名称</w:t>
            </w:r>
          </w:p>
        </w:tc>
        <w:tc>
          <w:tcPr>
            <w:tcW w:w="3120" w:type="dxa"/>
            <w:vAlign w:val="center"/>
          </w:tcPr>
          <w:p w14:paraId="13EBF207">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责任限额（元）</w:t>
            </w:r>
          </w:p>
        </w:tc>
      </w:tr>
      <w:tr w14:paraId="40C2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95" w:type="dxa"/>
            <w:vAlign w:val="center"/>
          </w:tcPr>
          <w:p w14:paraId="1E2B5219">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1</w:t>
            </w:r>
          </w:p>
        </w:tc>
        <w:tc>
          <w:tcPr>
            <w:tcW w:w="4050" w:type="dxa"/>
            <w:vAlign w:val="center"/>
          </w:tcPr>
          <w:p w14:paraId="5E9FFCA1">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机动车损失保险</w:t>
            </w:r>
          </w:p>
        </w:tc>
        <w:tc>
          <w:tcPr>
            <w:tcW w:w="3120" w:type="dxa"/>
            <w:vAlign w:val="center"/>
          </w:tcPr>
          <w:p w14:paraId="425B329E">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按投保时车辆的新车购置价或实际价值确定。</w:t>
            </w:r>
          </w:p>
        </w:tc>
      </w:tr>
      <w:tr w14:paraId="584A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5" w:type="dxa"/>
            <w:vAlign w:val="center"/>
          </w:tcPr>
          <w:p w14:paraId="6D7E5DC9">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2</w:t>
            </w:r>
          </w:p>
        </w:tc>
        <w:tc>
          <w:tcPr>
            <w:tcW w:w="4050" w:type="dxa"/>
            <w:vAlign w:val="center"/>
          </w:tcPr>
          <w:p w14:paraId="743D7484">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机动车第三者责任保险</w:t>
            </w:r>
          </w:p>
        </w:tc>
        <w:tc>
          <w:tcPr>
            <w:tcW w:w="3120" w:type="dxa"/>
            <w:vAlign w:val="center"/>
          </w:tcPr>
          <w:p w14:paraId="1B7B7FAB">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200万</w:t>
            </w:r>
          </w:p>
        </w:tc>
      </w:tr>
      <w:tr w14:paraId="088C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5" w:type="dxa"/>
            <w:vAlign w:val="center"/>
          </w:tcPr>
          <w:p w14:paraId="0B13EA2D">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3</w:t>
            </w:r>
          </w:p>
        </w:tc>
        <w:tc>
          <w:tcPr>
            <w:tcW w:w="4050" w:type="dxa"/>
            <w:vAlign w:val="center"/>
          </w:tcPr>
          <w:p w14:paraId="554A6111">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附加医保外医疗费用责任险</w:t>
            </w:r>
          </w:p>
        </w:tc>
        <w:tc>
          <w:tcPr>
            <w:tcW w:w="3120" w:type="dxa"/>
            <w:vAlign w:val="center"/>
          </w:tcPr>
          <w:p w14:paraId="0419F7E8">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10万</w:t>
            </w:r>
          </w:p>
        </w:tc>
      </w:tr>
    </w:tbl>
    <w:p w14:paraId="14D0E9FC">
      <w:pPr>
        <w:spacing w:line="440" w:lineRule="exact"/>
        <w:ind w:firstLine="480" w:firstLineChars="200"/>
        <w:rPr>
          <w:rFonts w:ascii="宋体" w:hAnsi="宋体" w:cs="宋体"/>
          <w:sz w:val="24"/>
          <w:highlight w:val="none"/>
        </w:rPr>
      </w:pPr>
      <w:r>
        <w:rPr>
          <w:rFonts w:hint="eastAsia" w:ascii="宋体" w:hAnsi="宋体" w:cs="宋体"/>
          <w:sz w:val="24"/>
          <w:highlight w:val="none"/>
        </w:rPr>
        <w:t>备注：采购人有权根据实际情况变更投保责任限额，增加或减少投保险种。</w:t>
      </w:r>
    </w:p>
    <w:p w14:paraId="2F824D51">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三、办理保险相关要求</w:t>
      </w:r>
    </w:p>
    <w:p w14:paraId="7702D312">
      <w:pPr>
        <w:pStyle w:val="6"/>
        <w:rPr>
          <w:rFonts w:ascii="宋体" w:hAnsi="宋体" w:cs="宋体"/>
          <w:sz w:val="24"/>
          <w:szCs w:val="24"/>
          <w:highlight w:val="none"/>
        </w:rPr>
      </w:pPr>
      <w:r>
        <w:rPr>
          <w:rFonts w:hint="eastAsia" w:ascii="宋体" w:hAnsi="宋体" w:cs="宋体"/>
          <w:b/>
          <w:bCs/>
          <w:sz w:val="24"/>
          <w:szCs w:val="24"/>
          <w:highlight w:val="none"/>
        </w:rPr>
        <w:t>机动车保险要求</w:t>
      </w:r>
    </w:p>
    <w:p w14:paraId="6D58ECA3">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1、适用保险条款</w:t>
      </w:r>
    </w:p>
    <w:p w14:paraId="44C2A13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A、交强险</w:t>
      </w:r>
    </w:p>
    <w:p w14:paraId="311AB675">
      <w:pPr>
        <w:snapToGrid w:val="0"/>
        <w:spacing w:line="360" w:lineRule="auto"/>
        <w:ind w:firstLine="480" w:firstLineChars="200"/>
        <w:rPr>
          <w:rFonts w:ascii="宋体" w:hAnsi="宋体" w:cs="宋体"/>
          <w:bCs/>
          <w:sz w:val="24"/>
          <w:highlight w:val="none"/>
        </w:rPr>
      </w:pPr>
      <w:r>
        <w:rPr>
          <w:rFonts w:hint="eastAsia" w:ascii="宋体" w:hAnsi="宋体" w:cs="宋体"/>
          <w:sz w:val="24"/>
          <w:highlight w:val="none"/>
        </w:rPr>
        <w:t>机动车交通事故责任强制保险条例（中保协条款[2006]1号执行）</w:t>
      </w:r>
    </w:p>
    <w:p w14:paraId="781800C4">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B、商业险</w:t>
      </w:r>
    </w:p>
    <w:p w14:paraId="57E76AF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中国保险行业协会机动车商业保险示范条款（2020版）、中国保险行业协会新能源汽车商业保险示范条款(试行)。</w:t>
      </w:r>
    </w:p>
    <w:p w14:paraId="46023E8D">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2、保险费率优惠比例及其他</w:t>
      </w:r>
    </w:p>
    <w:p w14:paraId="73F90E3B">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投标人根据自身具体情况，按以下规定（但不限于）给予保险费率及其他优惠承诺：</w:t>
      </w:r>
    </w:p>
    <w:p w14:paraId="2A3D721C">
      <w:pPr>
        <w:numPr>
          <w:ilvl w:val="0"/>
          <w:numId w:val="9"/>
        </w:num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交强险。按照机动车交通事故责任强制保险基础费率执行，根据保险责任事故赔偿次数、驾驶行为等给予最低优惠。</w:t>
      </w:r>
    </w:p>
    <w:tbl>
      <w:tblPr>
        <w:tblStyle w:val="24"/>
        <w:tblW w:w="0" w:type="auto"/>
        <w:jc w:val="center"/>
        <w:tblLayout w:type="fixed"/>
        <w:tblCellMar>
          <w:top w:w="15" w:type="dxa"/>
          <w:left w:w="15" w:type="dxa"/>
          <w:bottom w:w="15" w:type="dxa"/>
          <w:right w:w="15" w:type="dxa"/>
        </w:tblCellMar>
      </w:tblPr>
      <w:tblGrid>
        <w:gridCol w:w="5553"/>
        <w:gridCol w:w="1215"/>
        <w:gridCol w:w="1905"/>
      </w:tblGrid>
      <w:tr w14:paraId="65462D24">
        <w:tblPrEx>
          <w:tblCellMar>
            <w:top w:w="15" w:type="dxa"/>
            <w:left w:w="15" w:type="dxa"/>
            <w:bottom w:w="15" w:type="dxa"/>
            <w:right w:w="15" w:type="dxa"/>
          </w:tblCellMar>
        </w:tblPrEx>
        <w:trPr>
          <w:trHeight w:val="555" w:hRule="atLeast"/>
          <w:jc w:val="center"/>
        </w:trPr>
        <w:tc>
          <w:tcPr>
            <w:tcW w:w="8673" w:type="dxa"/>
            <w:gridSpan w:val="3"/>
            <w:vAlign w:val="center"/>
          </w:tcPr>
          <w:p w14:paraId="3F82C351">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机动车交强险保险折扣率</w:t>
            </w:r>
          </w:p>
        </w:tc>
      </w:tr>
      <w:tr w14:paraId="11F10ED8">
        <w:tblPrEx>
          <w:tblCellMar>
            <w:top w:w="15" w:type="dxa"/>
            <w:left w:w="15" w:type="dxa"/>
            <w:bottom w:w="15" w:type="dxa"/>
            <w:right w:w="15" w:type="dxa"/>
          </w:tblCellMar>
        </w:tblPrEx>
        <w:trPr>
          <w:trHeight w:val="675"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3A189C74">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上年出险次数</w:t>
            </w:r>
          </w:p>
        </w:tc>
        <w:tc>
          <w:tcPr>
            <w:tcW w:w="1215" w:type="dxa"/>
            <w:tcBorders>
              <w:top w:val="single" w:color="000000" w:sz="4" w:space="0"/>
              <w:left w:val="single" w:color="000000" w:sz="4" w:space="0"/>
              <w:bottom w:val="single" w:color="000000" w:sz="4" w:space="0"/>
              <w:right w:val="single" w:color="000000" w:sz="4" w:space="0"/>
            </w:tcBorders>
            <w:vAlign w:val="center"/>
          </w:tcPr>
          <w:p w14:paraId="557E1764">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优惠幅度</w:t>
            </w:r>
          </w:p>
        </w:tc>
        <w:tc>
          <w:tcPr>
            <w:tcW w:w="1905" w:type="dxa"/>
            <w:tcBorders>
              <w:top w:val="single" w:color="000000" w:sz="4" w:space="0"/>
              <w:left w:val="single" w:color="000000" w:sz="4" w:space="0"/>
              <w:bottom w:val="single" w:color="000000" w:sz="4" w:space="0"/>
              <w:right w:val="single" w:color="000000" w:sz="4" w:space="0"/>
            </w:tcBorders>
            <w:vAlign w:val="center"/>
          </w:tcPr>
          <w:p w14:paraId="78BCF9D0">
            <w:pPr>
              <w:widowControl/>
              <w:jc w:val="center"/>
              <w:textAlignment w:val="center"/>
              <w:rPr>
                <w:rFonts w:ascii="宋体" w:hAnsi="宋体" w:cs="宋体"/>
                <w:b/>
                <w:bCs/>
                <w:kern w:val="0"/>
                <w:sz w:val="24"/>
                <w:highlight w:val="none"/>
              </w:rPr>
            </w:pPr>
            <w:r>
              <w:rPr>
                <w:rFonts w:hint="eastAsia" w:ascii="宋体" w:hAnsi="宋体" w:cs="宋体"/>
                <w:b/>
                <w:bCs/>
                <w:kern w:val="0"/>
                <w:sz w:val="24"/>
                <w:highlight w:val="none"/>
              </w:rPr>
              <w:t>费率调整系数</w:t>
            </w:r>
          </w:p>
          <w:p w14:paraId="747A9556">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（最终折扣）</w:t>
            </w:r>
          </w:p>
        </w:tc>
      </w:tr>
      <w:tr w14:paraId="3FD5E209">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4AE619C6">
            <w:pPr>
              <w:widowControl/>
              <w:jc w:val="center"/>
              <w:textAlignment w:val="center"/>
              <w:rPr>
                <w:rFonts w:ascii="宋体" w:hAnsi="宋体" w:cs="宋体"/>
                <w:sz w:val="24"/>
                <w:highlight w:val="none"/>
              </w:rPr>
            </w:pPr>
            <w:r>
              <w:rPr>
                <w:rFonts w:hint="eastAsia" w:ascii="宋体" w:hAnsi="宋体" w:cs="宋体"/>
                <w:kern w:val="0"/>
                <w:sz w:val="24"/>
                <w:highlight w:val="none"/>
              </w:rPr>
              <w:t>上三个及以上年度未发生有责任道路交通事故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7A361EF0">
            <w:pPr>
              <w:widowControl/>
              <w:jc w:val="center"/>
              <w:textAlignment w:val="center"/>
              <w:rPr>
                <w:rFonts w:ascii="宋体" w:hAnsi="宋体" w:cs="宋体"/>
                <w:sz w:val="24"/>
                <w:highlight w:val="none"/>
              </w:rPr>
            </w:pPr>
            <w:r>
              <w:rPr>
                <w:rFonts w:hint="eastAsia" w:ascii="宋体" w:hAnsi="宋体" w:cs="宋体"/>
                <w:kern w:val="0"/>
                <w:sz w:val="24"/>
                <w:highlight w:val="none"/>
              </w:rPr>
              <w:t>30%</w:t>
            </w:r>
          </w:p>
        </w:tc>
        <w:tc>
          <w:tcPr>
            <w:tcW w:w="1905" w:type="dxa"/>
            <w:tcBorders>
              <w:top w:val="single" w:color="000000" w:sz="4" w:space="0"/>
              <w:left w:val="single" w:color="000000" w:sz="4" w:space="0"/>
              <w:bottom w:val="single" w:color="000000" w:sz="4" w:space="0"/>
              <w:right w:val="single" w:color="000000" w:sz="4" w:space="0"/>
            </w:tcBorders>
            <w:vAlign w:val="center"/>
          </w:tcPr>
          <w:p w14:paraId="69DA7E97">
            <w:pPr>
              <w:widowControl/>
              <w:jc w:val="center"/>
              <w:textAlignment w:val="center"/>
              <w:rPr>
                <w:rFonts w:ascii="宋体" w:hAnsi="宋体" w:cs="宋体"/>
                <w:sz w:val="24"/>
                <w:highlight w:val="none"/>
              </w:rPr>
            </w:pPr>
            <w:r>
              <w:rPr>
                <w:rFonts w:hint="eastAsia" w:ascii="宋体" w:hAnsi="宋体" w:cs="宋体"/>
                <w:kern w:val="0"/>
                <w:sz w:val="24"/>
                <w:highlight w:val="none"/>
              </w:rPr>
              <w:t>0.7</w:t>
            </w:r>
          </w:p>
        </w:tc>
      </w:tr>
      <w:tr w14:paraId="56B38D93">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283349A4">
            <w:pPr>
              <w:widowControl/>
              <w:jc w:val="center"/>
              <w:textAlignment w:val="center"/>
              <w:rPr>
                <w:rFonts w:ascii="宋体" w:hAnsi="宋体" w:cs="宋体"/>
                <w:sz w:val="24"/>
                <w:highlight w:val="none"/>
              </w:rPr>
            </w:pPr>
            <w:r>
              <w:rPr>
                <w:rFonts w:hint="eastAsia" w:ascii="宋体" w:hAnsi="宋体" w:cs="宋体"/>
                <w:kern w:val="0"/>
                <w:sz w:val="24"/>
                <w:highlight w:val="none"/>
              </w:rPr>
              <w:t>上两个年度未发生有责任道路交通事故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44573891">
            <w:pPr>
              <w:widowControl/>
              <w:jc w:val="center"/>
              <w:textAlignment w:val="center"/>
              <w:rPr>
                <w:rFonts w:ascii="宋体" w:hAnsi="宋体" w:cs="宋体"/>
                <w:sz w:val="24"/>
                <w:highlight w:val="none"/>
              </w:rPr>
            </w:pPr>
            <w:r>
              <w:rPr>
                <w:rFonts w:hint="eastAsia" w:ascii="宋体" w:hAnsi="宋体" w:cs="宋体"/>
                <w:kern w:val="0"/>
                <w:sz w:val="24"/>
                <w:highlight w:val="none"/>
              </w:rPr>
              <w:t>20%</w:t>
            </w:r>
          </w:p>
        </w:tc>
        <w:tc>
          <w:tcPr>
            <w:tcW w:w="1905" w:type="dxa"/>
            <w:tcBorders>
              <w:top w:val="single" w:color="000000" w:sz="4" w:space="0"/>
              <w:left w:val="single" w:color="000000" w:sz="4" w:space="0"/>
              <w:bottom w:val="single" w:color="000000" w:sz="4" w:space="0"/>
              <w:right w:val="single" w:color="000000" w:sz="4" w:space="0"/>
            </w:tcBorders>
            <w:vAlign w:val="center"/>
          </w:tcPr>
          <w:p w14:paraId="048DC60E">
            <w:pPr>
              <w:widowControl/>
              <w:jc w:val="center"/>
              <w:textAlignment w:val="center"/>
              <w:rPr>
                <w:rFonts w:ascii="宋体" w:hAnsi="宋体" w:cs="宋体"/>
                <w:sz w:val="24"/>
                <w:highlight w:val="none"/>
              </w:rPr>
            </w:pPr>
            <w:r>
              <w:rPr>
                <w:rFonts w:hint="eastAsia" w:ascii="宋体" w:hAnsi="宋体" w:cs="宋体"/>
                <w:kern w:val="0"/>
                <w:sz w:val="24"/>
                <w:highlight w:val="none"/>
              </w:rPr>
              <w:t>0.8</w:t>
            </w:r>
          </w:p>
        </w:tc>
      </w:tr>
      <w:tr w14:paraId="7BE943C7">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2FC109DF">
            <w:pPr>
              <w:widowControl/>
              <w:jc w:val="center"/>
              <w:textAlignment w:val="center"/>
              <w:rPr>
                <w:rFonts w:ascii="宋体" w:hAnsi="宋体" w:cs="宋体"/>
                <w:sz w:val="24"/>
                <w:highlight w:val="none"/>
              </w:rPr>
            </w:pPr>
            <w:r>
              <w:rPr>
                <w:rFonts w:hint="eastAsia" w:ascii="宋体" w:hAnsi="宋体" w:cs="宋体"/>
                <w:kern w:val="0"/>
                <w:sz w:val="24"/>
                <w:highlight w:val="none"/>
              </w:rPr>
              <w:t>上一个年度未发生有责任道路交通事故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2218A5B5">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c>
          <w:tcPr>
            <w:tcW w:w="1905" w:type="dxa"/>
            <w:tcBorders>
              <w:top w:val="single" w:color="000000" w:sz="4" w:space="0"/>
              <w:left w:val="single" w:color="000000" w:sz="4" w:space="0"/>
              <w:bottom w:val="single" w:color="000000" w:sz="4" w:space="0"/>
              <w:right w:val="single" w:color="000000" w:sz="4" w:space="0"/>
            </w:tcBorders>
            <w:vAlign w:val="center"/>
          </w:tcPr>
          <w:p w14:paraId="20471190">
            <w:pPr>
              <w:widowControl/>
              <w:jc w:val="center"/>
              <w:textAlignment w:val="center"/>
              <w:rPr>
                <w:rFonts w:ascii="宋体" w:hAnsi="宋体" w:cs="宋体"/>
                <w:sz w:val="24"/>
                <w:highlight w:val="none"/>
              </w:rPr>
            </w:pPr>
            <w:r>
              <w:rPr>
                <w:rFonts w:hint="eastAsia" w:ascii="宋体" w:hAnsi="宋体" w:cs="宋体"/>
                <w:kern w:val="0"/>
                <w:sz w:val="24"/>
                <w:highlight w:val="none"/>
              </w:rPr>
              <w:t>0.9</w:t>
            </w:r>
          </w:p>
        </w:tc>
      </w:tr>
      <w:tr w14:paraId="2E94A68D">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76C1783D">
            <w:pPr>
              <w:widowControl/>
              <w:jc w:val="center"/>
              <w:textAlignment w:val="center"/>
              <w:rPr>
                <w:rFonts w:ascii="宋体" w:hAnsi="宋体" w:cs="宋体"/>
                <w:sz w:val="24"/>
                <w:highlight w:val="none"/>
              </w:rPr>
            </w:pPr>
            <w:r>
              <w:rPr>
                <w:rFonts w:hint="eastAsia" w:ascii="宋体" w:hAnsi="宋体" w:cs="宋体"/>
                <w:kern w:val="0"/>
                <w:sz w:val="24"/>
                <w:highlight w:val="none"/>
              </w:rPr>
              <w:t>新保或过户或上年保险期限不为一年</w:t>
            </w:r>
          </w:p>
        </w:tc>
        <w:tc>
          <w:tcPr>
            <w:tcW w:w="1215" w:type="dxa"/>
            <w:tcBorders>
              <w:top w:val="single" w:color="000000" w:sz="4" w:space="0"/>
              <w:left w:val="single" w:color="000000" w:sz="4" w:space="0"/>
              <w:bottom w:val="single" w:color="000000" w:sz="4" w:space="0"/>
              <w:right w:val="single" w:color="000000" w:sz="4" w:space="0"/>
            </w:tcBorders>
            <w:vAlign w:val="center"/>
          </w:tcPr>
          <w:p w14:paraId="239D4B6E">
            <w:pPr>
              <w:widowControl/>
              <w:jc w:val="center"/>
              <w:textAlignment w:val="center"/>
              <w:rPr>
                <w:rFonts w:ascii="宋体" w:hAnsi="宋体" w:cs="宋体"/>
                <w:sz w:val="24"/>
                <w:highlight w:val="none"/>
              </w:rPr>
            </w:pPr>
            <w:r>
              <w:rPr>
                <w:rFonts w:hint="eastAsia" w:ascii="宋体" w:hAnsi="宋体" w:cs="宋体"/>
                <w:kern w:val="0"/>
                <w:sz w:val="24"/>
                <w:highlight w:val="none"/>
              </w:rPr>
              <w:t>0</w:t>
            </w:r>
          </w:p>
        </w:tc>
        <w:tc>
          <w:tcPr>
            <w:tcW w:w="1905" w:type="dxa"/>
            <w:tcBorders>
              <w:top w:val="single" w:color="000000" w:sz="4" w:space="0"/>
              <w:left w:val="single" w:color="000000" w:sz="4" w:space="0"/>
              <w:bottom w:val="single" w:color="000000" w:sz="4" w:space="0"/>
              <w:right w:val="single" w:color="000000" w:sz="4" w:space="0"/>
            </w:tcBorders>
            <w:vAlign w:val="center"/>
          </w:tcPr>
          <w:p w14:paraId="3015D4FD">
            <w:pPr>
              <w:widowControl/>
              <w:jc w:val="center"/>
              <w:textAlignment w:val="center"/>
              <w:rPr>
                <w:rFonts w:ascii="宋体" w:hAnsi="宋体" w:cs="宋体"/>
                <w:kern w:val="0"/>
                <w:sz w:val="24"/>
                <w:highlight w:val="none"/>
              </w:rPr>
            </w:pPr>
            <w:r>
              <w:rPr>
                <w:rFonts w:hint="eastAsia" w:ascii="宋体" w:hAnsi="宋体" w:cs="宋体"/>
                <w:kern w:val="0"/>
                <w:sz w:val="24"/>
                <w:highlight w:val="none"/>
              </w:rPr>
              <w:t>1.0</w:t>
            </w:r>
          </w:p>
        </w:tc>
      </w:tr>
      <w:tr w14:paraId="6199279A">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0C701701">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上一年度发生一次有责任不涉及死亡的道路交通事故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453F4DF6">
            <w:pPr>
              <w:widowControl/>
              <w:jc w:val="center"/>
              <w:textAlignment w:val="center"/>
              <w:rPr>
                <w:rFonts w:ascii="宋体" w:hAnsi="宋体" w:cs="宋体"/>
                <w:sz w:val="24"/>
                <w:highlight w:val="none"/>
              </w:rPr>
            </w:pPr>
            <w:r>
              <w:rPr>
                <w:rFonts w:hint="eastAsia" w:ascii="宋体" w:hAnsi="宋体" w:cs="宋体"/>
                <w:kern w:val="0"/>
                <w:sz w:val="24"/>
                <w:highlight w:val="none"/>
              </w:rPr>
              <w:t>0</w:t>
            </w:r>
          </w:p>
        </w:tc>
        <w:tc>
          <w:tcPr>
            <w:tcW w:w="1905" w:type="dxa"/>
            <w:tcBorders>
              <w:top w:val="single" w:color="000000" w:sz="4" w:space="0"/>
              <w:left w:val="single" w:color="000000" w:sz="4" w:space="0"/>
              <w:bottom w:val="single" w:color="000000" w:sz="4" w:space="0"/>
              <w:right w:val="single" w:color="000000" w:sz="4" w:space="0"/>
            </w:tcBorders>
            <w:vAlign w:val="center"/>
          </w:tcPr>
          <w:p w14:paraId="5EC56006">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r>
      <w:tr w14:paraId="12552DB9">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1064A1A7">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上一年度发生两次及两次以上有责任道路交通事故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4CBFCC33">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c>
          <w:tcPr>
            <w:tcW w:w="1905" w:type="dxa"/>
            <w:tcBorders>
              <w:top w:val="single" w:color="000000" w:sz="4" w:space="0"/>
              <w:left w:val="single" w:color="000000" w:sz="4" w:space="0"/>
              <w:bottom w:val="single" w:color="000000" w:sz="4" w:space="0"/>
              <w:right w:val="single" w:color="000000" w:sz="4" w:space="0"/>
            </w:tcBorders>
            <w:vAlign w:val="center"/>
          </w:tcPr>
          <w:p w14:paraId="033B7106">
            <w:pPr>
              <w:widowControl/>
              <w:jc w:val="center"/>
              <w:textAlignment w:val="center"/>
              <w:rPr>
                <w:rFonts w:ascii="宋体" w:hAnsi="宋体" w:cs="宋体"/>
                <w:sz w:val="24"/>
                <w:highlight w:val="none"/>
              </w:rPr>
            </w:pPr>
            <w:r>
              <w:rPr>
                <w:rFonts w:hint="eastAsia" w:ascii="宋体" w:hAnsi="宋体" w:cs="宋体"/>
                <w:kern w:val="0"/>
                <w:sz w:val="24"/>
                <w:highlight w:val="none"/>
              </w:rPr>
              <w:t>1.1</w:t>
            </w:r>
          </w:p>
        </w:tc>
      </w:tr>
      <w:tr w14:paraId="47554580">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6C195983">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上一年度发生有责任道路交通死亡事故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4342466A">
            <w:pPr>
              <w:widowControl/>
              <w:jc w:val="center"/>
              <w:textAlignment w:val="center"/>
              <w:rPr>
                <w:rFonts w:ascii="宋体" w:hAnsi="宋体" w:cs="宋体"/>
                <w:sz w:val="24"/>
                <w:highlight w:val="none"/>
              </w:rPr>
            </w:pPr>
            <w:r>
              <w:rPr>
                <w:rFonts w:hint="eastAsia" w:ascii="宋体" w:hAnsi="宋体" w:cs="宋体"/>
                <w:kern w:val="0"/>
                <w:sz w:val="24"/>
                <w:highlight w:val="none"/>
              </w:rPr>
              <w:t>-30%</w:t>
            </w:r>
          </w:p>
        </w:tc>
        <w:tc>
          <w:tcPr>
            <w:tcW w:w="1905" w:type="dxa"/>
            <w:tcBorders>
              <w:top w:val="single" w:color="000000" w:sz="4" w:space="0"/>
              <w:left w:val="single" w:color="000000" w:sz="4" w:space="0"/>
              <w:bottom w:val="single" w:color="000000" w:sz="4" w:space="0"/>
              <w:right w:val="single" w:color="000000" w:sz="4" w:space="0"/>
            </w:tcBorders>
            <w:vAlign w:val="center"/>
          </w:tcPr>
          <w:p w14:paraId="37AE8B6B">
            <w:pPr>
              <w:widowControl/>
              <w:jc w:val="center"/>
              <w:textAlignment w:val="center"/>
              <w:rPr>
                <w:rFonts w:ascii="宋体" w:hAnsi="宋体" w:cs="宋体"/>
                <w:sz w:val="24"/>
                <w:highlight w:val="none"/>
              </w:rPr>
            </w:pPr>
            <w:r>
              <w:rPr>
                <w:rFonts w:hint="eastAsia" w:ascii="宋体" w:hAnsi="宋体" w:cs="宋体"/>
                <w:kern w:val="0"/>
                <w:sz w:val="24"/>
                <w:highlight w:val="none"/>
              </w:rPr>
              <w:t>1.3</w:t>
            </w:r>
          </w:p>
        </w:tc>
      </w:tr>
    </w:tbl>
    <w:p w14:paraId="240840D4">
      <w:pPr>
        <w:snapToGrid w:val="0"/>
        <w:spacing w:line="360" w:lineRule="auto"/>
        <w:ind w:left="420" w:leftChars="200"/>
        <w:rPr>
          <w:rFonts w:ascii="宋体" w:hAnsi="宋体" w:cs="宋体"/>
          <w:b/>
          <w:bCs/>
          <w:kern w:val="0"/>
          <w:sz w:val="24"/>
          <w:highlight w:val="none"/>
        </w:rPr>
      </w:pPr>
    </w:p>
    <w:p w14:paraId="4E0CCF89">
      <w:pPr>
        <w:numPr>
          <w:ilvl w:val="0"/>
          <w:numId w:val="9"/>
        </w:numPr>
        <w:snapToGrid w:val="0"/>
        <w:spacing w:line="360" w:lineRule="auto"/>
        <w:ind w:firstLine="482" w:firstLineChars="200"/>
        <w:rPr>
          <w:rFonts w:ascii="宋体" w:hAnsi="宋体" w:cs="宋体"/>
          <w:b/>
          <w:bCs/>
          <w:kern w:val="0"/>
          <w:sz w:val="24"/>
          <w:highlight w:val="none"/>
        </w:rPr>
      </w:pPr>
      <w:r>
        <w:rPr>
          <w:rFonts w:hint="eastAsia" w:ascii="宋体" w:hAnsi="宋体" w:cs="宋体"/>
          <w:b/>
          <w:sz w:val="24"/>
          <w:highlight w:val="none"/>
        </w:rPr>
        <w:t>商业保险，</w:t>
      </w:r>
      <w:r>
        <w:rPr>
          <w:rFonts w:hint="eastAsia" w:ascii="宋体" w:hAnsi="宋体" w:cs="宋体"/>
          <w:b/>
          <w:bCs/>
          <w:kern w:val="0"/>
          <w:sz w:val="24"/>
          <w:highlight w:val="none"/>
        </w:rPr>
        <w:t>按下列规则和公式计算应交商业保险保费：</w:t>
      </w:r>
    </w:p>
    <w:p w14:paraId="43BEF4FD">
      <w:pPr>
        <w:pStyle w:val="22"/>
        <w:numPr>
          <w:ilvl w:val="0"/>
          <w:numId w:val="10"/>
        </w:numPr>
        <w:ind w:firstLine="480"/>
        <w:rPr>
          <w:highlight w:val="none"/>
        </w:rPr>
      </w:pPr>
      <w:r>
        <w:rPr>
          <w:rFonts w:hint="eastAsia"/>
          <w:highlight w:val="none"/>
        </w:rPr>
        <w:t>商业车险费率表</w:t>
      </w:r>
    </w:p>
    <w:tbl>
      <w:tblPr>
        <w:tblStyle w:val="24"/>
        <w:tblW w:w="0" w:type="auto"/>
        <w:tblInd w:w="20" w:type="dxa"/>
        <w:tblLayout w:type="fixed"/>
        <w:tblCellMar>
          <w:top w:w="15" w:type="dxa"/>
          <w:left w:w="15" w:type="dxa"/>
          <w:bottom w:w="15" w:type="dxa"/>
          <w:right w:w="15" w:type="dxa"/>
        </w:tblCellMar>
      </w:tblPr>
      <w:tblGrid>
        <w:gridCol w:w="4508"/>
        <w:gridCol w:w="4158"/>
      </w:tblGrid>
      <w:tr w14:paraId="2E1160EF">
        <w:tblPrEx>
          <w:tblCellMar>
            <w:top w:w="15" w:type="dxa"/>
            <w:left w:w="15" w:type="dxa"/>
            <w:bottom w:w="15" w:type="dxa"/>
            <w:right w:w="15" w:type="dxa"/>
          </w:tblCellMar>
        </w:tblPrEx>
        <w:trPr>
          <w:trHeight w:val="512" w:hRule="atLeast"/>
        </w:trPr>
        <w:tc>
          <w:tcPr>
            <w:tcW w:w="8666" w:type="dxa"/>
            <w:gridSpan w:val="2"/>
            <w:tcBorders>
              <w:top w:val="nil"/>
              <w:left w:val="nil"/>
              <w:bottom w:val="single" w:color="000000" w:sz="4" w:space="0"/>
              <w:right w:val="nil"/>
            </w:tcBorders>
            <w:vAlign w:val="center"/>
          </w:tcPr>
          <w:p w14:paraId="24AF231A">
            <w:pPr>
              <w:widowControl/>
              <w:jc w:val="center"/>
              <w:textAlignment w:val="center"/>
              <w:rPr>
                <w:rFonts w:ascii="宋体" w:hAnsi="宋体" w:cs="宋体"/>
                <w:b/>
                <w:bCs/>
                <w:kern w:val="0"/>
                <w:sz w:val="24"/>
                <w:highlight w:val="none"/>
              </w:rPr>
            </w:pPr>
            <w:r>
              <w:rPr>
                <w:rFonts w:hint="eastAsia" w:ascii="宋体" w:hAnsi="宋体" w:cs="宋体"/>
                <w:b/>
                <w:bCs/>
                <w:kern w:val="0"/>
                <w:sz w:val="24"/>
                <w:highlight w:val="none"/>
              </w:rPr>
              <w:t>机动车商业险保险无赔款优待系数（2020版）</w:t>
            </w:r>
          </w:p>
        </w:tc>
      </w:tr>
      <w:tr w14:paraId="304C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8666" w:type="dxa"/>
            <w:gridSpan w:val="2"/>
            <w:tcMar>
              <w:top w:w="15" w:type="dxa"/>
              <w:left w:w="15" w:type="dxa"/>
              <w:bottom w:w="0" w:type="dxa"/>
              <w:right w:w="15" w:type="dxa"/>
            </w:tcMar>
            <w:vAlign w:val="center"/>
          </w:tcPr>
          <w:p w14:paraId="59793385">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商业险NCD</w:t>
            </w:r>
          </w:p>
        </w:tc>
      </w:tr>
      <w:tr w14:paraId="1ED2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4508" w:type="dxa"/>
            <w:tcMar>
              <w:top w:w="15" w:type="dxa"/>
              <w:left w:w="15" w:type="dxa"/>
              <w:bottom w:w="0" w:type="dxa"/>
              <w:right w:w="15" w:type="dxa"/>
            </w:tcMar>
            <w:vAlign w:val="center"/>
          </w:tcPr>
          <w:p w14:paraId="6761ED4F">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NCD等级</w:t>
            </w:r>
          </w:p>
        </w:tc>
        <w:tc>
          <w:tcPr>
            <w:tcW w:w="4158" w:type="dxa"/>
            <w:tcMar>
              <w:top w:w="15" w:type="dxa"/>
              <w:left w:w="15" w:type="dxa"/>
              <w:bottom w:w="0" w:type="dxa"/>
              <w:right w:w="15" w:type="dxa"/>
            </w:tcMar>
            <w:vAlign w:val="center"/>
          </w:tcPr>
          <w:p w14:paraId="319F5124">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NCD系数</w:t>
            </w:r>
          </w:p>
        </w:tc>
      </w:tr>
      <w:tr w14:paraId="25CA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trPr>
        <w:tc>
          <w:tcPr>
            <w:tcW w:w="4508" w:type="dxa"/>
            <w:tcMar>
              <w:top w:w="15" w:type="dxa"/>
              <w:left w:w="15" w:type="dxa"/>
              <w:bottom w:w="0" w:type="dxa"/>
              <w:right w:w="15" w:type="dxa"/>
            </w:tcMar>
            <w:vAlign w:val="center"/>
          </w:tcPr>
          <w:p w14:paraId="07C715CB">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-4</w:t>
            </w:r>
          </w:p>
        </w:tc>
        <w:tc>
          <w:tcPr>
            <w:tcW w:w="4158" w:type="dxa"/>
            <w:tcMar>
              <w:top w:w="15" w:type="dxa"/>
              <w:left w:w="15" w:type="dxa"/>
              <w:bottom w:w="0" w:type="dxa"/>
              <w:right w:w="15" w:type="dxa"/>
            </w:tcMar>
            <w:vAlign w:val="center"/>
          </w:tcPr>
          <w:p w14:paraId="456C20D1">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0.5</w:t>
            </w:r>
          </w:p>
        </w:tc>
      </w:tr>
      <w:tr w14:paraId="12B7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1A59B0B7">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-3</w:t>
            </w:r>
          </w:p>
        </w:tc>
        <w:tc>
          <w:tcPr>
            <w:tcW w:w="4158" w:type="dxa"/>
            <w:tcMar>
              <w:top w:w="15" w:type="dxa"/>
              <w:left w:w="15" w:type="dxa"/>
              <w:bottom w:w="0" w:type="dxa"/>
              <w:right w:w="15" w:type="dxa"/>
            </w:tcMar>
            <w:vAlign w:val="center"/>
          </w:tcPr>
          <w:p w14:paraId="7949140A">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0.6</w:t>
            </w:r>
          </w:p>
        </w:tc>
      </w:tr>
      <w:tr w14:paraId="4559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348E4B71">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c>
          <w:tcPr>
            <w:tcW w:w="4158" w:type="dxa"/>
            <w:tcMar>
              <w:top w:w="15" w:type="dxa"/>
              <w:left w:w="15" w:type="dxa"/>
              <w:bottom w:w="0" w:type="dxa"/>
              <w:right w:w="15" w:type="dxa"/>
            </w:tcMar>
            <w:vAlign w:val="center"/>
          </w:tcPr>
          <w:p w14:paraId="258C2601">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0.7</w:t>
            </w:r>
          </w:p>
        </w:tc>
      </w:tr>
      <w:tr w14:paraId="7B8D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396F40B3">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c>
          <w:tcPr>
            <w:tcW w:w="4158" w:type="dxa"/>
            <w:tcMar>
              <w:top w:w="15" w:type="dxa"/>
              <w:left w:w="15" w:type="dxa"/>
              <w:bottom w:w="0" w:type="dxa"/>
              <w:right w:w="15" w:type="dxa"/>
            </w:tcMar>
            <w:vAlign w:val="center"/>
          </w:tcPr>
          <w:p w14:paraId="46E52AFE">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0.8</w:t>
            </w:r>
          </w:p>
        </w:tc>
      </w:tr>
      <w:tr w14:paraId="1E40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397C1932">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w:t>
            </w:r>
          </w:p>
        </w:tc>
        <w:tc>
          <w:tcPr>
            <w:tcW w:w="4158" w:type="dxa"/>
            <w:tcMar>
              <w:top w:w="15" w:type="dxa"/>
              <w:left w:w="15" w:type="dxa"/>
              <w:bottom w:w="0" w:type="dxa"/>
              <w:right w:w="15" w:type="dxa"/>
            </w:tcMar>
            <w:vAlign w:val="center"/>
          </w:tcPr>
          <w:p w14:paraId="61B4B729">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r>
      <w:tr w14:paraId="5805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454E4B53">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c>
          <w:tcPr>
            <w:tcW w:w="4158" w:type="dxa"/>
            <w:tcMar>
              <w:top w:w="15" w:type="dxa"/>
              <w:left w:w="15" w:type="dxa"/>
              <w:bottom w:w="0" w:type="dxa"/>
              <w:right w:w="15" w:type="dxa"/>
            </w:tcMar>
            <w:vAlign w:val="center"/>
          </w:tcPr>
          <w:p w14:paraId="6D23AC4F">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1.2</w:t>
            </w:r>
          </w:p>
        </w:tc>
      </w:tr>
      <w:tr w14:paraId="588B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70B2CD8F">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c>
          <w:tcPr>
            <w:tcW w:w="4158" w:type="dxa"/>
            <w:tcMar>
              <w:top w:w="15" w:type="dxa"/>
              <w:left w:w="15" w:type="dxa"/>
              <w:bottom w:w="0" w:type="dxa"/>
              <w:right w:w="15" w:type="dxa"/>
            </w:tcMar>
            <w:vAlign w:val="center"/>
          </w:tcPr>
          <w:p w14:paraId="3190BB56">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1.4</w:t>
            </w:r>
          </w:p>
        </w:tc>
      </w:tr>
      <w:tr w14:paraId="312A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593631F5">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3</w:t>
            </w:r>
          </w:p>
        </w:tc>
        <w:tc>
          <w:tcPr>
            <w:tcW w:w="4158" w:type="dxa"/>
            <w:tcMar>
              <w:top w:w="15" w:type="dxa"/>
              <w:left w:w="15" w:type="dxa"/>
              <w:bottom w:w="0" w:type="dxa"/>
              <w:right w:w="15" w:type="dxa"/>
            </w:tcMar>
            <w:vAlign w:val="center"/>
          </w:tcPr>
          <w:p w14:paraId="45E38332">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1.6</w:t>
            </w:r>
          </w:p>
        </w:tc>
      </w:tr>
      <w:tr w14:paraId="780D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64AC805E">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4</w:t>
            </w:r>
          </w:p>
        </w:tc>
        <w:tc>
          <w:tcPr>
            <w:tcW w:w="4158" w:type="dxa"/>
            <w:tcMar>
              <w:top w:w="15" w:type="dxa"/>
              <w:left w:w="15" w:type="dxa"/>
              <w:bottom w:w="0" w:type="dxa"/>
              <w:right w:w="15" w:type="dxa"/>
            </w:tcMar>
            <w:vAlign w:val="center"/>
          </w:tcPr>
          <w:p w14:paraId="46AC5A57">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1.8</w:t>
            </w:r>
          </w:p>
        </w:tc>
      </w:tr>
      <w:tr w14:paraId="539B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52FFA0F2">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5</w:t>
            </w:r>
          </w:p>
        </w:tc>
        <w:tc>
          <w:tcPr>
            <w:tcW w:w="4158" w:type="dxa"/>
            <w:tcMar>
              <w:top w:w="15" w:type="dxa"/>
              <w:left w:w="15" w:type="dxa"/>
              <w:bottom w:w="0" w:type="dxa"/>
              <w:right w:w="15" w:type="dxa"/>
            </w:tcMar>
            <w:vAlign w:val="center"/>
          </w:tcPr>
          <w:p w14:paraId="680207B9">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r>
    </w:tbl>
    <w:p w14:paraId="1A74D9F1">
      <w:pPr>
        <w:widowControl/>
        <w:jc w:val="left"/>
        <w:textAlignment w:val="center"/>
        <w:rPr>
          <w:rFonts w:ascii="宋体" w:hAnsi="宋体" w:cs="宋体"/>
          <w:kern w:val="0"/>
          <w:sz w:val="24"/>
          <w:highlight w:val="none"/>
        </w:rPr>
      </w:pPr>
      <w:r>
        <w:rPr>
          <w:rFonts w:hint="eastAsia" w:ascii="宋体" w:hAnsi="宋体" w:cs="宋体"/>
          <w:kern w:val="0"/>
          <w:sz w:val="24"/>
          <w:highlight w:val="none"/>
        </w:rPr>
        <w:t>注：NCD等级计算规则：(出险次数-连续投保年数)</w:t>
      </w:r>
    </w:p>
    <w:p w14:paraId="6CDC796A">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首年投保，等级为0；</w:t>
      </w:r>
    </w:p>
    <w:p w14:paraId="08A38E98">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非首年投保，考虑最近三年及以上连续投保和出险情况进行计算,计算规则如下:</w:t>
      </w:r>
    </w:p>
    <w:p w14:paraId="7260D823">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连续四年及以上投保且没有发生赔款，等级为-4；</w:t>
      </w:r>
    </w:p>
    <w:p w14:paraId="179FF3E3">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按照最近三年连续投保年数计算降级数，每连续投保1年降1级,按照最近三年出险情况计算升级数,每发生1次赔款升1级。最终等级为升级数减去降级数,最高为5级。</w:t>
      </w:r>
    </w:p>
    <w:p w14:paraId="69E4F5FF">
      <w:pPr>
        <w:pStyle w:val="22"/>
        <w:numPr>
          <w:ilvl w:val="0"/>
          <w:numId w:val="10"/>
        </w:numPr>
        <w:ind w:firstLine="480"/>
        <w:rPr>
          <w:highlight w:val="none"/>
        </w:rPr>
      </w:pPr>
      <w:r>
        <w:rPr>
          <w:rFonts w:hint="eastAsia"/>
          <w:highlight w:val="none"/>
        </w:rPr>
        <w:t>商业险保费=标准保费*商业险NCD*自主定价系数</w:t>
      </w:r>
    </w:p>
    <w:p w14:paraId="686CC3DB">
      <w:pPr>
        <w:widowControl/>
        <w:ind w:firstLine="960" w:firstLineChars="400"/>
        <w:jc w:val="left"/>
        <w:textAlignment w:val="center"/>
        <w:rPr>
          <w:rFonts w:ascii="宋体" w:hAnsi="宋体" w:cs="宋体"/>
          <w:kern w:val="0"/>
          <w:sz w:val="24"/>
          <w:highlight w:val="none"/>
        </w:rPr>
      </w:pPr>
      <w:r>
        <w:rPr>
          <w:rFonts w:hint="eastAsia" w:ascii="宋体" w:hAnsi="宋体" w:cs="宋体"/>
          <w:kern w:val="0"/>
          <w:sz w:val="24"/>
          <w:highlight w:val="none"/>
        </w:rPr>
        <w:t>标准保费=行业纯保费/(1-附加费用率)</w:t>
      </w:r>
    </w:p>
    <w:p w14:paraId="09BD5BFD">
      <w:pPr>
        <w:widowControl/>
        <w:ind w:firstLine="960" w:firstLineChars="400"/>
        <w:jc w:val="left"/>
        <w:textAlignment w:val="center"/>
        <w:rPr>
          <w:rFonts w:ascii="宋体" w:hAnsi="宋体" w:cs="宋体"/>
          <w:kern w:val="0"/>
          <w:sz w:val="24"/>
          <w:highlight w:val="none"/>
        </w:rPr>
      </w:pPr>
      <w:r>
        <w:rPr>
          <w:rFonts w:hint="eastAsia" w:ascii="宋体" w:hAnsi="宋体" w:cs="宋体"/>
          <w:kern w:val="0"/>
          <w:sz w:val="24"/>
          <w:highlight w:val="none"/>
        </w:rPr>
        <w:t>行业纯保费涉及到多个因子组成</w:t>
      </w:r>
    </w:p>
    <w:p w14:paraId="7BF9866F">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新旧车保险NCD系数和自主定价系数均按台州市保险行业规定执行,根据车辆以前投保出险记录来调整保险费率。</w:t>
      </w:r>
    </w:p>
    <w:p w14:paraId="7B98D201">
      <w:pPr>
        <w:snapToGrid w:val="0"/>
        <w:spacing w:line="360" w:lineRule="auto"/>
        <w:ind w:firstLine="480" w:firstLineChars="200"/>
        <w:rPr>
          <w:rFonts w:ascii="宋体" w:hAnsi="宋体" w:cs="宋体"/>
          <w:b/>
          <w:bCs/>
          <w:sz w:val="24"/>
          <w:highlight w:val="none"/>
        </w:rPr>
      </w:pPr>
      <w:r>
        <w:rPr>
          <w:rFonts w:hint="eastAsia" w:ascii="宋体" w:hAnsi="宋体" w:cs="宋体"/>
          <w:bCs/>
          <w:sz w:val="24"/>
          <w:highlight w:val="none"/>
        </w:rPr>
        <w:t>（3）</w:t>
      </w:r>
      <w:r>
        <w:rPr>
          <w:rFonts w:hint="eastAsia" w:ascii="宋体" w:hAnsi="宋体" w:cs="宋体"/>
          <w:b/>
          <w:sz w:val="24"/>
          <w:highlight w:val="none"/>
        </w:rPr>
        <w:t>在合同履行过程中，因为国家法律、相关政策调整，保费优惠规定出现更为有利于投保人（被保险人）的情形时，保险公司应当立即按新规定作相应调整，确保投保人（被保险人）享受更有利的优惠政策，并以书面形式告知投保人（被保险人）。</w:t>
      </w:r>
      <w:bookmarkStart w:id="43" w:name="_Toc5884"/>
    </w:p>
    <w:p w14:paraId="6584C612">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四、投保、理赔等各项服务要求</w:t>
      </w:r>
    </w:p>
    <w:p w14:paraId="0E62D77F">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投标人应当编制详尽的《浙江金豹运业有限公司车辆保险服务承诺书》并承诺切实履行，内容至少应包含以下内容：</w:t>
      </w:r>
    </w:p>
    <w:p w14:paraId="69BAD818">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1.承保服务基本要求</w:t>
      </w:r>
    </w:p>
    <w:p w14:paraId="0E57633F">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1 保险险种：按照统一、规范的原则 ，承保内容统一定为</w:t>
      </w:r>
      <w:r>
        <w:rPr>
          <w:rFonts w:hint="eastAsia" w:ascii="宋体" w:hAnsi="宋体" w:cs="宋体"/>
          <w:sz w:val="24"/>
          <w:highlight w:val="none"/>
        </w:rPr>
        <w:t>机动车交通事故责任强制险、车辆代收车船税、机动车商业保险</w:t>
      </w:r>
      <w:r>
        <w:rPr>
          <w:rFonts w:hint="eastAsia" w:ascii="宋体" w:hAnsi="宋体" w:cs="宋体"/>
          <w:sz w:val="24"/>
          <w:highlight w:val="none"/>
          <w:lang w:val="zh-CN"/>
        </w:rPr>
        <w:t>（</w:t>
      </w:r>
      <w:r>
        <w:rPr>
          <w:rFonts w:hint="eastAsia" w:ascii="宋体" w:hAnsi="宋体" w:cs="宋体"/>
          <w:sz w:val="24"/>
          <w:highlight w:val="none"/>
        </w:rPr>
        <w:t>采购</w:t>
      </w:r>
      <w:r>
        <w:rPr>
          <w:rFonts w:hint="eastAsia" w:ascii="宋体" w:hAnsi="宋体" w:cs="宋体"/>
          <w:sz w:val="24"/>
          <w:highlight w:val="none"/>
          <w:lang w:val="zh-CN"/>
        </w:rPr>
        <w:t>可根据实际需求选择是否投保附加险）。</w:t>
      </w:r>
    </w:p>
    <w:p w14:paraId="5C20EBFC">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2 保险金额及优惠</w:t>
      </w:r>
    </w:p>
    <w:p w14:paraId="10B40FB4">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 xml:space="preserve"> </w:t>
      </w:r>
      <w:r>
        <w:rPr>
          <w:rFonts w:hint="eastAsia" w:ascii="宋体" w:hAnsi="宋体" w:cs="宋体"/>
          <w:sz w:val="24"/>
          <w:highlight w:val="none"/>
          <w:lang w:val="zh-CN"/>
        </w:rPr>
        <w:t>交强险赔偿限额按国家有关规定执行；车辆损失险保险金额按投保时</w:t>
      </w:r>
      <w:r>
        <w:rPr>
          <w:rFonts w:hint="eastAsia" w:ascii="宋体" w:hAnsi="宋体" w:cs="宋体"/>
          <w:sz w:val="24"/>
          <w:highlight w:val="none"/>
        </w:rPr>
        <w:t>车辆的新车购置价或实际价值确定；</w:t>
      </w:r>
      <w:r>
        <w:rPr>
          <w:rFonts w:hint="eastAsia" w:ascii="宋体" w:hAnsi="宋体" w:cs="宋体"/>
          <w:sz w:val="24"/>
          <w:highlight w:val="none"/>
          <w:lang w:val="zh-CN"/>
        </w:rPr>
        <w:t>第三者责任险赔偿限额为 200 万元。</w:t>
      </w:r>
    </w:p>
    <w:p w14:paraId="2F8BA2EF">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lang w:val="zh-CN"/>
        </w:rPr>
        <w:t>(2)</w:t>
      </w:r>
      <w:r>
        <w:rPr>
          <w:rFonts w:hint="eastAsia" w:ascii="宋体" w:hAnsi="宋体" w:cs="宋体"/>
          <w:sz w:val="24"/>
          <w:highlight w:val="none"/>
        </w:rPr>
        <w:t xml:space="preserve"> </w:t>
      </w:r>
      <w:r>
        <w:rPr>
          <w:rFonts w:hint="eastAsia" w:ascii="宋体" w:hAnsi="宋体" w:cs="宋体"/>
          <w:sz w:val="24"/>
          <w:highlight w:val="none"/>
          <w:lang w:val="zh-CN"/>
        </w:rPr>
        <w:t>交强险优惠按浙江省交强险信息平台电脑自动生成金额，</w:t>
      </w:r>
      <w:r>
        <w:rPr>
          <w:rFonts w:hint="eastAsia" w:ascii="宋体" w:hAnsi="宋体" w:cs="宋体"/>
          <w:sz w:val="24"/>
          <w:highlight w:val="none"/>
        </w:rPr>
        <w:t>商业车险</w:t>
      </w:r>
      <w:r>
        <w:rPr>
          <w:rFonts w:hint="eastAsia" w:ascii="宋体" w:hAnsi="宋体" w:cs="宋体"/>
          <w:sz w:val="24"/>
          <w:highlight w:val="none"/>
          <w:lang w:val="zh-CN"/>
        </w:rPr>
        <w:t>优惠根据投标人现行费率规章规定以及投标承诺给予优惠。</w:t>
      </w:r>
    </w:p>
    <w:p w14:paraId="14371EED">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3. 指定专属承保服务人员：投标人需提供专属承保人员的姓名、联系电话,若指定的联系人员若变动，应提前一周告知采购人，并征得采购人同意。</w:t>
      </w:r>
    </w:p>
    <w:p w14:paraId="6C095092">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4. 落实专人优先制：投标人必须安排专人办理采购人机动车辆保险有关承保手续，送达保险资料等，享受承保优先的“畅通”服务。</w:t>
      </w:r>
    </w:p>
    <w:p w14:paraId="3FB353EC">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5. 专业联系跟踪制 ：投标人应在保险期限内有计划的定期和不定期的实行保险专业知识和风险管理方面的联系和交流。</w:t>
      </w:r>
    </w:p>
    <w:p w14:paraId="2538A718">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2.理赔服务基本要求</w:t>
      </w:r>
    </w:p>
    <w:p w14:paraId="6CEE2B85">
      <w:pPr>
        <w:spacing w:line="400" w:lineRule="exact"/>
        <w:ind w:left="3" w:right="67" w:firstLine="478"/>
        <w:rPr>
          <w:rFonts w:ascii="宋体" w:hAnsi="宋体" w:cs="宋体"/>
          <w:bCs/>
          <w:sz w:val="24"/>
          <w:highlight w:val="none"/>
        </w:rPr>
      </w:pPr>
      <w:r>
        <w:rPr>
          <w:rFonts w:hint="eastAsia" w:ascii="宋体" w:hAnsi="宋体" w:cs="宋体"/>
          <w:bCs/>
          <w:sz w:val="24"/>
          <w:highlight w:val="none"/>
        </w:rPr>
        <w:t>2.1设立用车保险专项理赔服务小组，指定专属理赔服务人员（需提供专职理赔人员的姓名、联系电话，投标人指定的联系人员若变动 ，应提前一周告知采购人，并征得采购人同意。）</w:t>
      </w:r>
    </w:p>
    <w:p w14:paraId="2C9F7A5B">
      <w:pPr>
        <w:spacing w:line="360" w:lineRule="auto"/>
        <w:ind w:firstLine="480" w:firstLineChars="200"/>
        <w:rPr>
          <w:rFonts w:ascii="仿宋" w:hAnsi="仿宋" w:eastAsia="仿宋" w:cs="仿宋"/>
          <w:sz w:val="24"/>
          <w:highlight w:val="none"/>
        </w:rPr>
      </w:pPr>
      <w:r>
        <w:rPr>
          <w:rFonts w:hint="eastAsia" w:ascii="宋体" w:hAnsi="宋体" w:cs="宋体"/>
          <w:bCs/>
          <w:sz w:val="24"/>
          <w:highlight w:val="none"/>
        </w:rPr>
        <w:t>2.2查勘救援：提供7×24小时服务，在接到采购人事故报案后，要求查勘员5分钟内与客户联系，并立即派员赶赴现场进行勘查，在台州城区不得超过30分钟；台州区域外2小时到达现场；不能按时到达现场的，告知原因，在理赔时，采购人只要提供交警部门证明和现场照片，即予认可。</w:t>
      </w:r>
    </w:p>
    <w:p w14:paraId="38BED6B0">
      <w:pPr>
        <w:spacing w:line="400" w:lineRule="exact"/>
        <w:ind w:left="3" w:right="67" w:firstLine="478"/>
        <w:rPr>
          <w:rFonts w:ascii="微软雅黑" w:hAnsi="微软雅黑" w:eastAsia="微软雅黑" w:cs="微软雅黑"/>
          <w:spacing w:val="1"/>
          <w:sz w:val="22"/>
          <w:szCs w:val="22"/>
          <w:highlight w:val="none"/>
        </w:rPr>
      </w:pPr>
      <w:r>
        <w:rPr>
          <w:rFonts w:hint="eastAsia" w:ascii="宋体" w:hAnsi="宋体" w:cs="宋体"/>
          <w:bCs/>
          <w:sz w:val="24"/>
          <w:highlight w:val="none"/>
        </w:rPr>
        <w:t>2.3赔款要求：赔款在规定时间统一汇入采购人账号，赔款汇单上必须注明车号；赔款不得以现金方式支付。同时经采购人授权，第三者损失可以直接赔给第三者，车损和第三者车辆损失也可以直赔维修单位。</w:t>
      </w:r>
    </w:p>
    <w:p w14:paraId="5F3DE0A9">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2.4 为进一步减少采购人发生责任事故的经济损失，顺畅理赔，中标人应对采购人的所有人伤案件全程予以三方调解处理服务，并按调解结果进行及时理赔。</w:t>
      </w:r>
    </w:p>
    <w:p w14:paraId="79B7D354">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2.5对肇事车辆修复应按照“质量第一，方便及时”的原则，就近进行修理。修复配件应根据厂家原装配件进行估价。</w:t>
      </w:r>
    </w:p>
    <w:p w14:paraId="41B30B2B">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2.6 发生保险责任范围内的事故，应由有关责任方负责赔偿的，投标人应先向采购人赔付，同时取得在赔偿金额范围内代位追偿的权利。投标人向有关责任方行使追偿权时采购 人应积极协助并提供必要的信息和有关情况的说明。</w:t>
      </w:r>
    </w:p>
    <w:p w14:paraId="68ED6842">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2.7 支付抢救费：凡车辆发生事故 ，造成人员受伤的 ，按《中华人民共和国道路交通安全法》第 75 条“ 由保险公司在责任限额范围内支付抢救费用的”规定 ，投标人支付伤者抢救费用。</w:t>
      </w:r>
    </w:p>
    <w:p w14:paraId="2526C0A7">
      <w:pPr>
        <w:spacing w:line="400" w:lineRule="exact"/>
        <w:ind w:left="3" w:right="67" w:firstLine="381"/>
        <w:rPr>
          <w:rFonts w:ascii="宋体" w:hAnsi="宋体" w:cs="宋体"/>
          <w:bCs/>
          <w:sz w:val="24"/>
          <w:highlight w:val="none"/>
        </w:rPr>
      </w:pPr>
      <w:r>
        <w:rPr>
          <w:rFonts w:hint="eastAsia" w:ascii="宋体" w:hAnsi="宋体" w:cs="宋体"/>
          <w:bCs/>
          <w:sz w:val="24"/>
          <w:highlight w:val="none"/>
        </w:rPr>
        <w:t>2.8 投标人须提供理赔咨询、单证收集等理赔服务。</w:t>
      </w:r>
    </w:p>
    <w:p w14:paraId="398C3C8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3.增值服务要求</w:t>
      </w:r>
    </w:p>
    <w:p w14:paraId="43F6E35D">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免费组织投标人（被保险人）相关人员进行保险条款、索赔程序、道路交通安全法等方面的知识培训，每年至少一次。其他服务视各保险公司具体情况而定。保险公司服务承诺将作为投标文件和保险合同的一部分。</w:t>
      </w:r>
    </w:p>
    <w:p w14:paraId="0DCD6117">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五、其他相关要求</w:t>
      </w:r>
    </w:p>
    <w:p w14:paraId="340EC458">
      <w:pPr>
        <w:snapToGrid w:val="0"/>
        <w:ind w:firstLine="480" w:firstLineChars="200"/>
        <w:rPr>
          <w:rFonts w:ascii="宋体" w:hAnsi="宋体" w:cs="宋体"/>
          <w:bCs/>
          <w:sz w:val="24"/>
          <w:highlight w:val="none"/>
        </w:rPr>
      </w:pPr>
      <w:r>
        <w:rPr>
          <w:rFonts w:hint="eastAsia" w:ascii="宋体" w:hAnsi="宋体" w:cs="宋体"/>
          <w:bCs/>
          <w:sz w:val="24"/>
          <w:highlight w:val="none"/>
        </w:rPr>
        <w:t>1、投标人应科学、客观评估自身的承保能力、价格互惠准确性、理赔服务质量、承保责任范围、服务的灵活性、财务稳定性、连续性以及声誉和经验等。</w:t>
      </w:r>
    </w:p>
    <w:p w14:paraId="59BFBE56">
      <w:pPr>
        <w:snapToGrid w:val="0"/>
        <w:ind w:firstLine="480" w:firstLineChars="200"/>
        <w:rPr>
          <w:rFonts w:ascii="宋体" w:hAnsi="宋体" w:cs="宋体"/>
          <w:bCs/>
          <w:sz w:val="24"/>
          <w:highlight w:val="none"/>
        </w:rPr>
      </w:pPr>
      <w:r>
        <w:rPr>
          <w:rFonts w:hint="eastAsia" w:ascii="宋体" w:hAnsi="宋体" w:cs="宋体"/>
          <w:bCs/>
          <w:sz w:val="24"/>
          <w:highlight w:val="none"/>
        </w:rPr>
        <w:t>2、在用车保险报价中，投标人应拟定详细、全面的保险方案，包括保障范围、保险金额、赔偿限额、保险期限、免赔及除外责任、保险费用与支付方式、争议解决方式以及不能通过保险方式转移的风险等内容。</w:t>
      </w:r>
    </w:p>
    <w:p w14:paraId="11E9918F">
      <w:pPr>
        <w:snapToGrid w:val="0"/>
        <w:ind w:firstLine="480" w:firstLineChars="200"/>
        <w:rPr>
          <w:rFonts w:ascii="宋体" w:hAnsi="宋体" w:cs="宋体"/>
          <w:bCs/>
          <w:sz w:val="24"/>
          <w:highlight w:val="none"/>
        </w:rPr>
      </w:pPr>
      <w:r>
        <w:rPr>
          <w:rFonts w:hint="eastAsia" w:ascii="宋体" w:hAnsi="宋体" w:cs="宋体"/>
          <w:bCs/>
          <w:sz w:val="24"/>
          <w:highlight w:val="none"/>
        </w:rPr>
        <w:t>3、在保险责任事故发生后，积极做好被保险人重大保险责任事故的现场处理，提出处理意见，并依法让被保险人获取最大限度的合法利益。</w:t>
      </w:r>
    </w:p>
    <w:p w14:paraId="2F69C2FA">
      <w:pPr>
        <w:snapToGrid w:val="0"/>
        <w:spacing w:line="360" w:lineRule="auto"/>
        <w:ind w:firstLine="482" w:firstLineChars="200"/>
        <w:rPr>
          <w:rFonts w:ascii="宋体" w:hAnsi="宋体" w:cs="宋体"/>
          <w:b/>
          <w:bCs/>
          <w:sz w:val="24"/>
          <w:highlight w:val="none"/>
        </w:rPr>
      </w:pPr>
      <w:bookmarkStart w:id="44" w:name="_Toc502655474"/>
      <w:r>
        <w:rPr>
          <w:rFonts w:hint="eastAsia" w:ascii="宋体" w:hAnsi="宋体" w:cs="宋体"/>
          <w:b/>
          <w:bCs/>
          <w:sz w:val="24"/>
          <w:highlight w:val="none"/>
        </w:rPr>
        <w:t>六、保险费结算、保险单与保费发票送达</w:t>
      </w:r>
      <w:bookmarkEnd w:id="44"/>
    </w:p>
    <w:p w14:paraId="2B80C9CF">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1、结算货币：人民币。</w:t>
      </w:r>
    </w:p>
    <w:p w14:paraId="6535D19F">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2、结算方式：转账或其他。</w:t>
      </w:r>
    </w:p>
    <w:p w14:paraId="2BE9AFFE">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3、结算方法：由</w:t>
      </w:r>
      <w:r>
        <w:rPr>
          <w:rFonts w:hint="eastAsia" w:ascii="宋体" w:hAnsi="宋体" w:cs="宋体"/>
          <w:kern w:val="0"/>
          <w:sz w:val="24"/>
          <w:highlight w:val="none"/>
        </w:rPr>
        <w:t>【浙江金豹运业有限公司】</w:t>
      </w:r>
      <w:r>
        <w:rPr>
          <w:rFonts w:hint="eastAsia" w:ascii="宋体" w:hAnsi="宋体" w:cs="宋体"/>
          <w:bCs/>
          <w:sz w:val="24"/>
          <w:highlight w:val="none"/>
        </w:rPr>
        <w:t>（被保险人）直接支付给保险公司。</w:t>
      </w:r>
    </w:p>
    <w:p w14:paraId="3E203B79">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4、结算凭据：由</w:t>
      </w:r>
      <w:r>
        <w:rPr>
          <w:rFonts w:hint="eastAsia" w:ascii="宋体" w:hAnsi="宋体" w:cs="宋体"/>
          <w:kern w:val="0"/>
          <w:sz w:val="24"/>
          <w:highlight w:val="none"/>
        </w:rPr>
        <w:t>【浙江金豹运业有限公司】</w:t>
      </w:r>
      <w:r>
        <w:rPr>
          <w:rFonts w:hint="eastAsia" w:ascii="宋体" w:hAnsi="宋体" w:cs="宋体"/>
          <w:bCs/>
          <w:sz w:val="24"/>
          <w:highlight w:val="none"/>
        </w:rPr>
        <w:t>（被保险人）与保险公司达成一致的投保单。</w:t>
      </w:r>
    </w:p>
    <w:bookmarkEnd w:id="43"/>
    <w:p w14:paraId="154E782E">
      <w:pPr>
        <w:snapToGrid w:val="0"/>
        <w:spacing w:line="360" w:lineRule="auto"/>
        <w:rPr>
          <w:rFonts w:ascii="宋体" w:hAnsi="宋体" w:cs="宋体"/>
          <w:b/>
          <w:bCs/>
          <w:sz w:val="24"/>
          <w:highlight w:val="none"/>
        </w:rPr>
      </w:pPr>
      <w:bookmarkStart w:id="45" w:name="_Toc340223150"/>
      <w:bookmarkStart w:id="46" w:name="_Toc502655475"/>
      <w:bookmarkStart w:id="47" w:name="_Toc410027625"/>
      <w:r>
        <w:rPr>
          <w:rFonts w:hint="eastAsia" w:ascii="宋体" w:hAnsi="宋体" w:cs="宋体"/>
          <w:b/>
          <w:bCs/>
          <w:sz w:val="24"/>
          <w:highlight w:val="none"/>
        </w:rPr>
        <w:t>七、其</w:t>
      </w:r>
      <w:bookmarkEnd w:id="45"/>
      <w:r>
        <w:rPr>
          <w:rFonts w:hint="eastAsia" w:ascii="宋体" w:hAnsi="宋体" w:cs="宋体"/>
          <w:b/>
          <w:bCs/>
          <w:sz w:val="24"/>
          <w:highlight w:val="none"/>
        </w:rPr>
        <w:t>他</w:t>
      </w:r>
      <w:bookmarkEnd w:id="46"/>
      <w:bookmarkEnd w:id="47"/>
    </w:p>
    <w:p w14:paraId="523FA3BC">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1、投标人必须在投标文件中对以上条款和服务承诺明确列出，承诺内容必须达到或优于本章及招标文件其他条款的要求。</w:t>
      </w:r>
    </w:p>
    <w:p w14:paraId="306C7437">
      <w:pPr>
        <w:snapToGrid w:val="0"/>
        <w:spacing w:line="360" w:lineRule="auto"/>
        <w:ind w:firstLine="480"/>
        <w:rPr>
          <w:rFonts w:ascii="宋体" w:hAnsi="宋体" w:cs="宋体"/>
          <w:bCs/>
          <w:sz w:val="24"/>
          <w:highlight w:val="none"/>
        </w:rPr>
      </w:pPr>
      <w:r>
        <w:rPr>
          <w:rFonts w:hint="eastAsia" w:ascii="宋体" w:hAnsi="宋体" w:cs="宋体"/>
          <w:bCs/>
          <w:sz w:val="24"/>
          <w:highlight w:val="none"/>
        </w:rPr>
        <w:t>2、其他未尽事宜由采购双方在采购合同中详细约定。</w:t>
      </w:r>
    </w:p>
    <w:p w14:paraId="3BB4DBA4">
      <w:pPr>
        <w:snapToGrid w:val="0"/>
        <w:spacing w:line="360" w:lineRule="auto"/>
        <w:ind w:firstLine="480"/>
        <w:rPr>
          <w:rFonts w:ascii="宋体" w:hAnsi="宋体" w:cs="宋体"/>
          <w:bCs/>
          <w:sz w:val="24"/>
          <w:highlight w:val="none"/>
        </w:rPr>
      </w:pPr>
      <w:r>
        <w:rPr>
          <w:rFonts w:hint="eastAsia" w:ascii="宋体" w:hAnsi="宋体" w:cs="宋体"/>
          <w:bCs/>
          <w:sz w:val="24"/>
          <w:highlight w:val="none"/>
        </w:rPr>
        <w:t>3、如浙江金豹运业有限公司因实际工作需要，新采购车辆，采购车辆的机动车交强险、商业险等保险均按照本次投标结果进行投保。</w:t>
      </w:r>
    </w:p>
    <w:p w14:paraId="128A49ED">
      <w:pPr>
        <w:snapToGrid w:val="0"/>
        <w:spacing w:line="360" w:lineRule="auto"/>
        <w:rPr>
          <w:rFonts w:ascii="宋体" w:hAnsi="宋体" w:cs="宋体"/>
          <w:bCs/>
          <w:sz w:val="24"/>
          <w:highlight w:val="none"/>
        </w:rPr>
      </w:pPr>
      <w:r>
        <w:rPr>
          <w:rFonts w:hint="eastAsia" w:ascii="宋体" w:hAnsi="宋体" w:cs="宋体"/>
          <w:b/>
          <w:bCs/>
          <w:sz w:val="24"/>
          <w:highlight w:val="none"/>
        </w:rPr>
        <w:t>八、浙江金豹运业有限公司现有机动车车辆情况：</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182"/>
        <w:gridCol w:w="1112"/>
        <w:gridCol w:w="1093"/>
        <w:gridCol w:w="1776"/>
        <w:gridCol w:w="1133"/>
        <w:gridCol w:w="1133"/>
      </w:tblGrid>
      <w:tr w14:paraId="2E64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vAlign w:val="center"/>
          </w:tcPr>
          <w:p w14:paraId="0B0EB712">
            <w:pPr>
              <w:widowControl/>
              <w:jc w:val="center"/>
              <w:textAlignment w:val="center"/>
              <w:rPr>
                <w:rFonts w:ascii="宋体" w:hAnsi="宋体" w:cs="宋体"/>
                <w:sz w:val="24"/>
                <w:highlight w:val="none"/>
              </w:rPr>
            </w:pPr>
            <w:r>
              <w:rPr>
                <w:rFonts w:hint="eastAsia" w:ascii="宋体" w:hAnsi="宋体" w:cs="宋体"/>
                <w:kern w:val="0"/>
                <w:sz w:val="24"/>
                <w:highlight w:val="none"/>
              </w:rPr>
              <w:t>序号</w:t>
            </w:r>
          </w:p>
        </w:tc>
        <w:tc>
          <w:tcPr>
            <w:tcW w:w="1182" w:type="dxa"/>
            <w:shd w:val="clear" w:color="auto" w:fill="auto"/>
            <w:vAlign w:val="center"/>
          </w:tcPr>
          <w:p w14:paraId="6B0B1057">
            <w:pPr>
              <w:widowControl/>
              <w:jc w:val="center"/>
              <w:textAlignment w:val="center"/>
              <w:rPr>
                <w:rFonts w:ascii="宋体" w:hAnsi="宋体" w:cs="宋体"/>
                <w:sz w:val="24"/>
                <w:highlight w:val="none"/>
              </w:rPr>
            </w:pPr>
            <w:r>
              <w:rPr>
                <w:rFonts w:hint="eastAsia" w:ascii="宋体" w:hAnsi="宋体" w:cs="宋体"/>
                <w:kern w:val="0"/>
                <w:sz w:val="24"/>
                <w:highlight w:val="none"/>
              </w:rPr>
              <w:t>牌照号码</w:t>
            </w:r>
          </w:p>
        </w:tc>
        <w:tc>
          <w:tcPr>
            <w:tcW w:w="1112" w:type="dxa"/>
            <w:shd w:val="clear" w:color="auto" w:fill="auto"/>
            <w:vAlign w:val="center"/>
          </w:tcPr>
          <w:p w14:paraId="01B2E8B6">
            <w:pPr>
              <w:widowControl/>
              <w:jc w:val="center"/>
              <w:textAlignment w:val="center"/>
              <w:rPr>
                <w:rFonts w:ascii="宋体" w:hAnsi="宋体" w:cs="宋体"/>
                <w:sz w:val="24"/>
                <w:highlight w:val="none"/>
              </w:rPr>
            </w:pPr>
            <w:r>
              <w:rPr>
                <w:rFonts w:hint="eastAsia" w:ascii="宋体" w:hAnsi="宋体" w:cs="宋体"/>
                <w:kern w:val="0"/>
                <w:sz w:val="24"/>
                <w:highlight w:val="none"/>
              </w:rPr>
              <w:t>二保周期</w:t>
            </w:r>
          </w:p>
        </w:tc>
        <w:tc>
          <w:tcPr>
            <w:tcW w:w="1093" w:type="dxa"/>
            <w:shd w:val="clear" w:color="auto" w:fill="auto"/>
            <w:vAlign w:val="center"/>
          </w:tcPr>
          <w:p w14:paraId="37B38652">
            <w:pPr>
              <w:widowControl/>
              <w:jc w:val="center"/>
              <w:textAlignment w:val="center"/>
              <w:rPr>
                <w:rFonts w:ascii="宋体" w:hAnsi="宋体" w:cs="宋体"/>
                <w:sz w:val="24"/>
                <w:highlight w:val="none"/>
              </w:rPr>
            </w:pPr>
            <w:r>
              <w:rPr>
                <w:rFonts w:hint="eastAsia" w:ascii="宋体" w:hAnsi="宋体" w:cs="宋体"/>
                <w:kern w:val="0"/>
                <w:sz w:val="24"/>
                <w:highlight w:val="none"/>
              </w:rPr>
              <w:t>车辆类别</w:t>
            </w:r>
          </w:p>
        </w:tc>
        <w:tc>
          <w:tcPr>
            <w:tcW w:w="1776" w:type="dxa"/>
            <w:vAlign w:val="center"/>
          </w:tcPr>
          <w:p w14:paraId="45C20B3C">
            <w:pPr>
              <w:widowControl/>
              <w:jc w:val="center"/>
              <w:textAlignment w:val="center"/>
              <w:rPr>
                <w:rFonts w:ascii="宋体" w:hAnsi="宋体" w:cs="宋体"/>
                <w:bCs/>
                <w:sz w:val="24"/>
                <w:highlight w:val="none"/>
              </w:rPr>
            </w:pPr>
            <w:r>
              <w:rPr>
                <w:rFonts w:hint="eastAsia" w:ascii="宋体" w:hAnsi="宋体" w:cs="宋体"/>
                <w:kern w:val="0"/>
                <w:sz w:val="24"/>
                <w:highlight w:val="none"/>
              </w:rPr>
              <w:t>厂牌型号</w:t>
            </w:r>
          </w:p>
        </w:tc>
        <w:tc>
          <w:tcPr>
            <w:tcW w:w="1133" w:type="dxa"/>
            <w:vAlign w:val="center"/>
          </w:tcPr>
          <w:p w14:paraId="3A73A07F">
            <w:pPr>
              <w:widowControl/>
              <w:jc w:val="center"/>
              <w:textAlignment w:val="center"/>
              <w:rPr>
                <w:rFonts w:ascii="宋体" w:hAnsi="宋体" w:cs="宋体"/>
                <w:bCs/>
                <w:sz w:val="24"/>
                <w:highlight w:val="none"/>
              </w:rPr>
            </w:pPr>
            <w:r>
              <w:rPr>
                <w:rFonts w:hint="eastAsia" w:ascii="宋体" w:hAnsi="宋体" w:cs="宋体"/>
                <w:kern w:val="0"/>
                <w:sz w:val="24"/>
                <w:highlight w:val="none"/>
              </w:rPr>
              <w:t>座位(个)</w:t>
            </w:r>
          </w:p>
        </w:tc>
        <w:tc>
          <w:tcPr>
            <w:tcW w:w="1133" w:type="dxa"/>
            <w:vAlign w:val="center"/>
          </w:tcPr>
          <w:p w14:paraId="001AF895">
            <w:pPr>
              <w:widowControl/>
              <w:jc w:val="center"/>
              <w:textAlignment w:val="center"/>
              <w:rPr>
                <w:rFonts w:ascii="宋体" w:hAnsi="宋体" w:cs="宋体"/>
                <w:bCs/>
                <w:sz w:val="24"/>
                <w:highlight w:val="none"/>
              </w:rPr>
            </w:pPr>
            <w:r>
              <w:rPr>
                <w:rFonts w:hint="eastAsia" w:ascii="宋体" w:hAnsi="宋体" w:cs="宋体"/>
                <w:kern w:val="0"/>
                <w:sz w:val="24"/>
                <w:highlight w:val="none"/>
              </w:rPr>
              <w:t>上牌日期</w:t>
            </w:r>
          </w:p>
        </w:tc>
      </w:tr>
      <w:tr w14:paraId="5FCD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4388F8A">
            <w:pPr>
              <w:widowControl/>
              <w:jc w:val="center"/>
              <w:textAlignment w:val="center"/>
              <w:rPr>
                <w:rFonts w:ascii="宋体" w:hAnsi="宋体" w:cs="宋体"/>
                <w:bCs/>
                <w:sz w:val="24"/>
                <w:highlight w:val="none"/>
              </w:rPr>
            </w:pPr>
            <w:r>
              <w:rPr>
                <w:rFonts w:hint="eastAsia" w:ascii="宋体" w:hAnsi="宋体" w:cs="宋体"/>
                <w:kern w:val="0"/>
                <w:sz w:val="24"/>
                <w:highlight w:val="none"/>
              </w:rPr>
              <w:t>1</w:t>
            </w:r>
          </w:p>
        </w:tc>
        <w:tc>
          <w:tcPr>
            <w:tcW w:w="1182" w:type="dxa"/>
            <w:vAlign w:val="center"/>
          </w:tcPr>
          <w:p w14:paraId="12C6D988">
            <w:pPr>
              <w:widowControl/>
              <w:jc w:val="center"/>
              <w:textAlignment w:val="center"/>
              <w:rPr>
                <w:rFonts w:ascii="宋体" w:hAnsi="宋体" w:cs="宋体"/>
                <w:bCs/>
                <w:sz w:val="24"/>
                <w:highlight w:val="none"/>
              </w:rPr>
            </w:pPr>
            <w:r>
              <w:rPr>
                <w:rFonts w:hint="eastAsia" w:ascii="宋体" w:hAnsi="宋体" w:cs="宋体"/>
                <w:kern w:val="0"/>
                <w:sz w:val="24"/>
                <w:highlight w:val="none"/>
              </w:rPr>
              <w:t>浙J86011</w:t>
            </w:r>
          </w:p>
        </w:tc>
        <w:tc>
          <w:tcPr>
            <w:tcW w:w="1112" w:type="dxa"/>
            <w:vAlign w:val="center"/>
          </w:tcPr>
          <w:p w14:paraId="16FF53D3">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4BED64C">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EBBF203">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宇通ZK6908HAA</w:t>
            </w:r>
          </w:p>
        </w:tc>
        <w:tc>
          <w:tcPr>
            <w:tcW w:w="1133" w:type="dxa"/>
            <w:vAlign w:val="center"/>
          </w:tcPr>
          <w:p w14:paraId="04D8C98E">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30BC0E32">
            <w:pPr>
              <w:widowControl/>
              <w:jc w:val="center"/>
              <w:textAlignment w:val="center"/>
              <w:rPr>
                <w:rFonts w:ascii="宋体" w:hAnsi="宋体" w:cs="宋体"/>
                <w:bCs/>
                <w:sz w:val="24"/>
                <w:highlight w:val="none"/>
              </w:rPr>
            </w:pPr>
            <w:r>
              <w:rPr>
                <w:rFonts w:hint="eastAsia" w:ascii="宋体" w:hAnsi="宋体" w:cs="宋体"/>
                <w:kern w:val="0"/>
                <w:sz w:val="24"/>
                <w:highlight w:val="none"/>
              </w:rPr>
              <w:t>2014年1月</w:t>
            </w:r>
          </w:p>
        </w:tc>
      </w:tr>
      <w:tr w14:paraId="0875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EC7FCA5">
            <w:pPr>
              <w:widowControl/>
              <w:jc w:val="center"/>
              <w:textAlignment w:val="center"/>
              <w:rPr>
                <w:rFonts w:ascii="宋体" w:hAnsi="宋体" w:cs="宋体"/>
                <w:bCs/>
                <w:sz w:val="24"/>
                <w:highlight w:val="none"/>
              </w:rPr>
            </w:pPr>
            <w:r>
              <w:rPr>
                <w:rFonts w:hint="eastAsia" w:ascii="宋体" w:hAnsi="宋体" w:cs="宋体"/>
                <w:kern w:val="0"/>
                <w:sz w:val="24"/>
                <w:highlight w:val="none"/>
              </w:rPr>
              <w:t>2</w:t>
            </w:r>
          </w:p>
        </w:tc>
        <w:tc>
          <w:tcPr>
            <w:tcW w:w="1182" w:type="dxa"/>
            <w:vAlign w:val="center"/>
          </w:tcPr>
          <w:p w14:paraId="5A6469FC">
            <w:pPr>
              <w:widowControl/>
              <w:jc w:val="center"/>
              <w:textAlignment w:val="center"/>
              <w:rPr>
                <w:rFonts w:ascii="宋体" w:hAnsi="宋体" w:cs="宋体"/>
                <w:bCs/>
                <w:sz w:val="24"/>
                <w:highlight w:val="none"/>
              </w:rPr>
            </w:pPr>
            <w:r>
              <w:rPr>
                <w:rFonts w:hint="eastAsia" w:ascii="宋体" w:hAnsi="宋体" w:cs="宋体"/>
                <w:kern w:val="0"/>
                <w:sz w:val="24"/>
                <w:highlight w:val="none"/>
              </w:rPr>
              <w:t>浙J85335</w:t>
            </w:r>
          </w:p>
        </w:tc>
        <w:tc>
          <w:tcPr>
            <w:tcW w:w="1112" w:type="dxa"/>
            <w:vAlign w:val="center"/>
          </w:tcPr>
          <w:p w14:paraId="50A6665E">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385B82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D3B12E8">
            <w:pPr>
              <w:widowControl/>
              <w:jc w:val="center"/>
              <w:textAlignment w:val="center"/>
              <w:rPr>
                <w:rFonts w:ascii="宋体" w:hAnsi="宋体" w:cs="宋体"/>
                <w:bCs/>
                <w:sz w:val="24"/>
                <w:highlight w:val="none"/>
              </w:rPr>
            </w:pPr>
            <w:r>
              <w:rPr>
                <w:rFonts w:hint="eastAsia" w:ascii="宋体" w:hAnsi="宋体" w:cs="宋体"/>
                <w:kern w:val="0"/>
                <w:sz w:val="24"/>
                <w:highlight w:val="none"/>
              </w:rPr>
              <w:t>青年牌JNP6122M</w:t>
            </w:r>
          </w:p>
        </w:tc>
        <w:tc>
          <w:tcPr>
            <w:tcW w:w="1133" w:type="dxa"/>
            <w:vAlign w:val="center"/>
          </w:tcPr>
          <w:p w14:paraId="3CC0D51D">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4A4F01B7">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2013年11月</w:t>
            </w:r>
          </w:p>
        </w:tc>
      </w:tr>
      <w:tr w14:paraId="457F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4F158FE">
            <w:pPr>
              <w:widowControl/>
              <w:jc w:val="center"/>
              <w:textAlignment w:val="center"/>
              <w:rPr>
                <w:rFonts w:ascii="宋体" w:hAnsi="宋体" w:cs="宋体"/>
                <w:bCs/>
                <w:sz w:val="24"/>
                <w:highlight w:val="none"/>
              </w:rPr>
            </w:pPr>
            <w:r>
              <w:rPr>
                <w:rFonts w:hint="eastAsia" w:ascii="宋体" w:hAnsi="宋体" w:cs="宋体"/>
                <w:kern w:val="0"/>
                <w:sz w:val="24"/>
                <w:highlight w:val="none"/>
              </w:rPr>
              <w:t>3</w:t>
            </w:r>
          </w:p>
        </w:tc>
        <w:tc>
          <w:tcPr>
            <w:tcW w:w="1182" w:type="dxa"/>
            <w:vAlign w:val="center"/>
          </w:tcPr>
          <w:p w14:paraId="430B98BE">
            <w:pPr>
              <w:widowControl/>
              <w:jc w:val="center"/>
              <w:textAlignment w:val="center"/>
              <w:rPr>
                <w:rFonts w:ascii="宋体" w:hAnsi="宋体" w:cs="宋体"/>
                <w:bCs/>
                <w:sz w:val="24"/>
                <w:highlight w:val="none"/>
              </w:rPr>
            </w:pPr>
            <w:r>
              <w:rPr>
                <w:rFonts w:hint="eastAsia" w:ascii="宋体" w:hAnsi="宋体" w:cs="宋体"/>
                <w:kern w:val="0"/>
                <w:sz w:val="24"/>
                <w:highlight w:val="none"/>
              </w:rPr>
              <w:t>浙J78951</w:t>
            </w:r>
          </w:p>
        </w:tc>
        <w:tc>
          <w:tcPr>
            <w:tcW w:w="1112" w:type="dxa"/>
            <w:vAlign w:val="center"/>
          </w:tcPr>
          <w:p w14:paraId="235C92EC">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4695308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3BB14EA4">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青年JNP6110F-1E</w:t>
            </w:r>
          </w:p>
        </w:tc>
        <w:tc>
          <w:tcPr>
            <w:tcW w:w="1133" w:type="dxa"/>
            <w:vAlign w:val="center"/>
          </w:tcPr>
          <w:p w14:paraId="62842DA8">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01F520B3">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506A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A737EBB">
            <w:pPr>
              <w:widowControl/>
              <w:jc w:val="center"/>
              <w:textAlignment w:val="center"/>
              <w:rPr>
                <w:rFonts w:ascii="宋体" w:hAnsi="宋体" w:cs="宋体"/>
                <w:bCs/>
                <w:sz w:val="24"/>
                <w:highlight w:val="none"/>
              </w:rPr>
            </w:pPr>
            <w:r>
              <w:rPr>
                <w:rFonts w:hint="eastAsia" w:ascii="宋体" w:hAnsi="宋体" w:cs="宋体"/>
                <w:kern w:val="0"/>
                <w:sz w:val="24"/>
                <w:highlight w:val="none"/>
              </w:rPr>
              <w:t>4</w:t>
            </w:r>
          </w:p>
        </w:tc>
        <w:tc>
          <w:tcPr>
            <w:tcW w:w="1182" w:type="dxa"/>
            <w:vAlign w:val="center"/>
          </w:tcPr>
          <w:p w14:paraId="24968B4B">
            <w:pPr>
              <w:widowControl/>
              <w:jc w:val="center"/>
              <w:textAlignment w:val="center"/>
              <w:rPr>
                <w:rFonts w:ascii="宋体" w:hAnsi="宋体" w:cs="宋体"/>
                <w:bCs/>
                <w:sz w:val="24"/>
                <w:highlight w:val="none"/>
              </w:rPr>
            </w:pPr>
            <w:r>
              <w:rPr>
                <w:rFonts w:hint="eastAsia" w:ascii="宋体" w:hAnsi="宋体" w:cs="宋体"/>
                <w:kern w:val="0"/>
                <w:sz w:val="24"/>
                <w:highlight w:val="none"/>
              </w:rPr>
              <w:t>浙J79031</w:t>
            </w:r>
          </w:p>
        </w:tc>
        <w:tc>
          <w:tcPr>
            <w:tcW w:w="1112" w:type="dxa"/>
            <w:vAlign w:val="center"/>
          </w:tcPr>
          <w:p w14:paraId="7281AF0C">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1A7A814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A2056AF">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青年JNP6110F-1E</w:t>
            </w:r>
          </w:p>
        </w:tc>
        <w:tc>
          <w:tcPr>
            <w:tcW w:w="1133" w:type="dxa"/>
            <w:vAlign w:val="center"/>
          </w:tcPr>
          <w:p w14:paraId="10F75EBE">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50A3F9CD">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5239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95612D1">
            <w:pPr>
              <w:widowControl/>
              <w:jc w:val="center"/>
              <w:textAlignment w:val="center"/>
              <w:rPr>
                <w:rFonts w:ascii="宋体" w:hAnsi="宋体" w:cs="宋体"/>
                <w:bCs/>
                <w:sz w:val="24"/>
                <w:highlight w:val="none"/>
              </w:rPr>
            </w:pPr>
            <w:r>
              <w:rPr>
                <w:rFonts w:hint="eastAsia" w:ascii="宋体" w:hAnsi="宋体" w:cs="宋体"/>
                <w:kern w:val="0"/>
                <w:sz w:val="24"/>
                <w:highlight w:val="none"/>
              </w:rPr>
              <w:t>5</w:t>
            </w:r>
          </w:p>
        </w:tc>
        <w:tc>
          <w:tcPr>
            <w:tcW w:w="1182" w:type="dxa"/>
            <w:vAlign w:val="center"/>
          </w:tcPr>
          <w:p w14:paraId="1366FDA6">
            <w:pPr>
              <w:widowControl/>
              <w:jc w:val="center"/>
              <w:textAlignment w:val="center"/>
              <w:rPr>
                <w:rFonts w:ascii="宋体" w:hAnsi="宋体" w:cs="宋体"/>
                <w:bCs/>
                <w:sz w:val="24"/>
                <w:highlight w:val="none"/>
              </w:rPr>
            </w:pPr>
            <w:r>
              <w:rPr>
                <w:rFonts w:hint="eastAsia" w:ascii="宋体" w:hAnsi="宋体" w:cs="宋体"/>
                <w:kern w:val="0"/>
                <w:sz w:val="24"/>
                <w:highlight w:val="none"/>
              </w:rPr>
              <w:t>浙J91003</w:t>
            </w:r>
          </w:p>
        </w:tc>
        <w:tc>
          <w:tcPr>
            <w:tcW w:w="1112" w:type="dxa"/>
            <w:vAlign w:val="center"/>
          </w:tcPr>
          <w:p w14:paraId="3FB00488">
            <w:pPr>
              <w:widowControl/>
              <w:jc w:val="center"/>
              <w:textAlignment w:val="center"/>
              <w:rPr>
                <w:rFonts w:ascii="宋体" w:hAnsi="宋体" w:cs="宋体"/>
                <w:bCs/>
                <w:sz w:val="24"/>
                <w:highlight w:val="none"/>
              </w:rPr>
            </w:pPr>
            <w:r>
              <w:rPr>
                <w:rFonts w:hint="eastAsia" w:ascii="宋体" w:hAnsi="宋体" w:cs="宋体"/>
                <w:kern w:val="0"/>
                <w:sz w:val="24"/>
                <w:highlight w:val="none"/>
              </w:rPr>
              <w:t>90</w:t>
            </w:r>
          </w:p>
        </w:tc>
        <w:tc>
          <w:tcPr>
            <w:tcW w:w="1093" w:type="dxa"/>
            <w:vAlign w:val="center"/>
          </w:tcPr>
          <w:p w14:paraId="55D2360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0FC954C">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金龙XMQ6859AYD4D</w:t>
            </w:r>
          </w:p>
        </w:tc>
        <w:tc>
          <w:tcPr>
            <w:tcW w:w="1133" w:type="dxa"/>
            <w:vAlign w:val="center"/>
          </w:tcPr>
          <w:p w14:paraId="2BA6BAF0">
            <w:pPr>
              <w:widowControl/>
              <w:jc w:val="center"/>
              <w:textAlignment w:val="center"/>
              <w:rPr>
                <w:rFonts w:ascii="宋体" w:hAnsi="宋体" w:cs="宋体"/>
                <w:bCs/>
                <w:sz w:val="24"/>
                <w:highlight w:val="none"/>
              </w:rPr>
            </w:pPr>
            <w:r>
              <w:rPr>
                <w:rFonts w:hint="eastAsia" w:ascii="宋体" w:hAnsi="宋体" w:cs="宋体"/>
                <w:kern w:val="0"/>
                <w:sz w:val="24"/>
                <w:highlight w:val="none"/>
              </w:rPr>
              <w:t>32</w:t>
            </w:r>
          </w:p>
        </w:tc>
        <w:tc>
          <w:tcPr>
            <w:tcW w:w="1133" w:type="dxa"/>
            <w:vAlign w:val="center"/>
          </w:tcPr>
          <w:p w14:paraId="178382E4">
            <w:pPr>
              <w:widowControl/>
              <w:jc w:val="center"/>
              <w:textAlignment w:val="center"/>
              <w:rPr>
                <w:rFonts w:ascii="宋体" w:hAnsi="宋体" w:cs="宋体"/>
                <w:bCs/>
                <w:sz w:val="24"/>
                <w:highlight w:val="none"/>
              </w:rPr>
            </w:pPr>
            <w:r>
              <w:rPr>
                <w:rFonts w:hint="eastAsia" w:ascii="宋体" w:hAnsi="宋体" w:cs="宋体"/>
                <w:kern w:val="0"/>
                <w:sz w:val="24"/>
                <w:highlight w:val="none"/>
              </w:rPr>
              <w:t>2014年11月</w:t>
            </w:r>
          </w:p>
        </w:tc>
      </w:tr>
      <w:tr w14:paraId="4862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E7D74BC">
            <w:pPr>
              <w:widowControl/>
              <w:jc w:val="center"/>
              <w:textAlignment w:val="center"/>
              <w:rPr>
                <w:rFonts w:ascii="宋体" w:hAnsi="宋体" w:cs="宋体"/>
                <w:bCs/>
                <w:sz w:val="24"/>
                <w:highlight w:val="none"/>
              </w:rPr>
            </w:pPr>
            <w:r>
              <w:rPr>
                <w:rFonts w:hint="eastAsia" w:ascii="宋体" w:hAnsi="宋体" w:cs="宋体"/>
                <w:kern w:val="0"/>
                <w:sz w:val="24"/>
                <w:highlight w:val="none"/>
              </w:rPr>
              <w:t>6</w:t>
            </w:r>
          </w:p>
        </w:tc>
        <w:tc>
          <w:tcPr>
            <w:tcW w:w="1182" w:type="dxa"/>
            <w:vAlign w:val="center"/>
          </w:tcPr>
          <w:p w14:paraId="10F08AD8">
            <w:pPr>
              <w:widowControl/>
              <w:jc w:val="center"/>
              <w:textAlignment w:val="center"/>
              <w:rPr>
                <w:rFonts w:ascii="宋体" w:hAnsi="宋体" w:cs="宋体"/>
                <w:bCs/>
                <w:sz w:val="24"/>
                <w:highlight w:val="none"/>
              </w:rPr>
            </w:pPr>
            <w:r>
              <w:rPr>
                <w:rFonts w:hint="eastAsia" w:ascii="宋体" w:hAnsi="宋体" w:cs="宋体"/>
                <w:kern w:val="0"/>
                <w:sz w:val="24"/>
                <w:highlight w:val="none"/>
              </w:rPr>
              <w:t>浙J93811</w:t>
            </w:r>
          </w:p>
        </w:tc>
        <w:tc>
          <w:tcPr>
            <w:tcW w:w="1112" w:type="dxa"/>
            <w:vAlign w:val="center"/>
          </w:tcPr>
          <w:p w14:paraId="095C548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7EAB453">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EBAB1CE">
            <w:pPr>
              <w:widowControl/>
              <w:jc w:val="center"/>
              <w:textAlignment w:val="center"/>
              <w:rPr>
                <w:rFonts w:ascii="宋体" w:hAnsi="宋体" w:cs="宋体"/>
                <w:bCs/>
                <w:sz w:val="24"/>
                <w:highlight w:val="none"/>
              </w:rPr>
            </w:pPr>
            <w:r>
              <w:rPr>
                <w:rFonts w:hint="eastAsia" w:ascii="宋体" w:hAnsi="宋体" w:cs="宋体"/>
                <w:kern w:val="0"/>
                <w:sz w:val="24"/>
                <w:highlight w:val="none"/>
              </w:rPr>
              <w:t>海格KLQ6802KAE1A</w:t>
            </w:r>
          </w:p>
        </w:tc>
        <w:tc>
          <w:tcPr>
            <w:tcW w:w="1133" w:type="dxa"/>
            <w:vAlign w:val="center"/>
          </w:tcPr>
          <w:p w14:paraId="70F10AC3">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376F1D3B">
            <w:pPr>
              <w:widowControl/>
              <w:jc w:val="center"/>
              <w:textAlignment w:val="center"/>
              <w:rPr>
                <w:rFonts w:ascii="宋体" w:hAnsi="宋体" w:cs="宋体"/>
                <w:bCs/>
                <w:sz w:val="24"/>
                <w:highlight w:val="none"/>
              </w:rPr>
            </w:pPr>
            <w:r>
              <w:rPr>
                <w:rFonts w:hint="eastAsia" w:ascii="宋体" w:hAnsi="宋体" w:cs="宋体"/>
                <w:kern w:val="0"/>
                <w:sz w:val="24"/>
                <w:highlight w:val="none"/>
              </w:rPr>
              <w:t>2015年6月</w:t>
            </w:r>
          </w:p>
        </w:tc>
      </w:tr>
      <w:tr w14:paraId="75C2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F6FC3C2">
            <w:pPr>
              <w:widowControl/>
              <w:jc w:val="center"/>
              <w:textAlignment w:val="center"/>
              <w:rPr>
                <w:rFonts w:ascii="宋体" w:hAnsi="宋体" w:cs="宋体"/>
                <w:bCs/>
                <w:sz w:val="24"/>
                <w:highlight w:val="none"/>
              </w:rPr>
            </w:pPr>
            <w:r>
              <w:rPr>
                <w:rFonts w:hint="eastAsia" w:ascii="宋体" w:hAnsi="宋体" w:cs="宋体"/>
                <w:kern w:val="0"/>
                <w:sz w:val="24"/>
                <w:highlight w:val="none"/>
              </w:rPr>
              <w:t>7</w:t>
            </w:r>
          </w:p>
        </w:tc>
        <w:tc>
          <w:tcPr>
            <w:tcW w:w="1182" w:type="dxa"/>
            <w:vAlign w:val="center"/>
          </w:tcPr>
          <w:p w14:paraId="02B2956D">
            <w:pPr>
              <w:widowControl/>
              <w:jc w:val="center"/>
              <w:textAlignment w:val="center"/>
              <w:rPr>
                <w:rFonts w:ascii="宋体" w:hAnsi="宋体" w:cs="宋体"/>
                <w:bCs/>
                <w:sz w:val="24"/>
                <w:highlight w:val="none"/>
              </w:rPr>
            </w:pPr>
            <w:r>
              <w:rPr>
                <w:rFonts w:hint="eastAsia" w:ascii="宋体" w:hAnsi="宋体" w:cs="宋体"/>
                <w:kern w:val="0"/>
                <w:sz w:val="24"/>
                <w:highlight w:val="none"/>
              </w:rPr>
              <w:t>浙J85807</w:t>
            </w:r>
          </w:p>
        </w:tc>
        <w:tc>
          <w:tcPr>
            <w:tcW w:w="1112" w:type="dxa"/>
            <w:vAlign w:val="center"/>
          </w:tcPr>
          <w:p w14:paraId="4C822EAB">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EF80847">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8E6E772">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5E8AAA34">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7CE4ED60">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2468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F3DE9B5">
            <w:pPr>
              <w:widowControl/>
              <w:jc w:val="center"/>
              <w:textAlignment w:val="center"/>
              <w:rPr>
                <w:rFonts w:ascii="宋体" w:hAnsi="宋体" w:cs="宋体"/>
                <w:bCs/>
                <w:sz w:val="24"/>
                <w:highlight w:val="none"/>
              </w:rPr>
            </w:pPr>
            <w:r>
              <w:rPr>
                <w:rFonts w:hint="eastAsia" w:ascii="宋体" w:hAnsi="宋体" w:cs="宋体"/>
                <w:kern w:val="0"/>
                <w:sz w:val="24"/>
                <w:highlight w:val="none"/>
              </w:rPr>
              <w:t>8</w:t>
            </w:r>
          </w:p>
        </w:tc>
        <w:tc>
          <w:tcPr>
            <w:tcW w:w="1182" w:type="dxa"/>
            <w:vAlign w:val="center"/>
          </w:tcPr>
          <w:p w14:paraId="78F37A6C">
            <w:pPr>
              <w:widowControl/>
              <w:jc w:val="center"/>
              <w:textAlignment w:val="center"/>
              <w:rPr>
                <w:rFonts w:ascii="宋体" w:hAnsi="宋体" w:cs="宋体"/>
                <w:bCs/>
                <w:sz w:val="24"/>
                <w:highlight w:val="none"/>
              </w:rPr>
            </w:pPr>
            <w:r>
              <w:rPr>
                <w:rFonts w:hint="eastAsia" w:ascii="宋体" w:hAnsi="宋体" w:cs="宋体"/>
                <w:kern w:val="0"/>
                <w:sz w:val="24"/>
                <w:highlight w:val="none"/>
              </w:rPr>
              <w:t>浙J85809</w:t>
            </w:r>
          </w:p>
        </w:tc>
        <w:tc>
          <w:tcPr>
            <w:tcW w:w="1112" w:type="dxa"/>
            <w:vAlign w:val="center"/>
          </w:tcPr>
          <w:p w14:paraId="5A1D8E07">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3A133C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655C5327">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1E45E473">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5EC7C1A8">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61B6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2E261AB">
            <w:pPr>
              <w:widowControl/>
              <w:jc w:val="center"/>
              <w:textAlignment w:val="center"/>
              <w:rPr>
                <w:rFonts w:ascii="宋体" w:hAnsi="宋体" w:cs="宋体"/>
                <w:bCs/>
                <w:sz w:val="24"/>
                <w:highlight w:val="none"/>
              </w:rPr>
            </w:pPr>
            <w:r>
              <w:rPr>
                <w:rFonts w:hint="eastAsia" w:ascii="宋体" w:hAnsi="宋体" w:cs="宋体"/>
                <w:kern w:val="0"/>
                <w:sz w:val="24"/>
                <w:highlight w:val="none"/>
              </w:rPr>
              <w:t>9</w:t>
            </w:r>
          </w:p>
        </w:tc>
        <w:tc>
          <w:tcPr>
            <w:tcW w:w="1182" w:type="dxa"/>
            <w:vAlign w:val="center"/>
          </w:tcPr>
          <w:p w14:paraId="15A045E6">
            <w:pPr>
              <w:widowControl/>
              <w:jc w:val="center"/>
              <w:textAlignment w:val="center"/>
              <w:rPr>
                <w:rFonts w:ascii="宋体" w:hAnsi="宋体" w:cs="宋体"/>
                <w:bCs/>
                <w:sz w:val="24"/>
                <w:highlight w:val="none"/>
              </w:rPr>
            </w:pPr>
            <w:r>
              <w:rPr>
                <w:rFonts w:hint="eastAsia" w:ascii="宋体" w:hAnsi="宋体" w:cs="宋体"/>
                <w:kern w:val="0"/>
                <w:sz w:val="24"/>
                <w:highlight w:val="none"/>
              </w:rPr>
              <w:t>浙J85816</w:t>
            </w:r>
          </w:p>
        </w:tc>
        <w:tc>
          <w:tcPr>
            <w:tcW w:w="1112" w:type="dxa"/>
            <w:vAlign w:val="center"/>
          </w:tcPr>
          <w:p w14:paraId="1FDE45B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B84897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4428A39">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3B4995FA">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19959B6D">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70E9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2BD4205">
            <w:pPr>
              <w:widowControl/>
              <w:jc w:val="center"/>
              <w:textAlignment w:val="center"/>
              <w:rPr>
                <w:rFonts w:ascii="宋体" w:hAnsi="宋体" w:cs="宋体"/>
                <w:bCs/>
                <w:sz w:val="24"/>
                <w:highlight w:val="none"/>
              </w:rPr>
            </w:pPr>
            <w:r>
              <w:rPr>
                <w:rFonts w:hint="eastAsia" w:ascii="宋体" w:hAnsi="宋体" w:cs="宋体"/>
                <w:kern w:val="0"/>
                <w:sz w:val="24"/>
                <w:highlight w:val="none"/>
              </w:rPr>
              <w:t>10</w:t>
            </w:r>
          </w:p>
        </w:tc>
        <w:tc>
          <w:tcPr>
            <w:tcW w:w="1182" w:type="dxa"/>
            <w:vAlign w:val="center"/>
          </w:tcPr>
          <w:p w14:paraId="49EBDDC7">
            <w:pPr>
              <w:widowControl/>
              <w:jc w:val="center"/>
              <w:textAlignment w:val="center"/>
              <w:rPr>
                <w:rFonts w:ascii="宋体" w:hAnsi="宋体" w:cs="宋体"/>
                <w:bCs/>
                <w:sz w:val="24"/>
                <w:highlight w:val="none"/>
              </w:rPr>
            </w:pPr>
            <w:r>
              <w:rPr>
                <w:rFonts w:hint="eastAsia" w:ascii="宋体" w:hAnsi="宋体" w:cs="宋体"/>
                <w:kern w:val="0"/>
                <w:sz w:val="24"/>
                <w:highlight w:val="none"/>
              </w:rPr>
              <w:t>浙J85826</w:t>
            </w:r>
          </w:p>
        </w:tc>
        <w:tc>
          <w:tcPr>
            <w:tcW w:w="1112" w:type="dxa"/>
            <w:vAlign w:val="center"/>
          </w:tcPr>
          <w:p w14:paraId="54919DB0">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F39534C">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1959B80">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7D3DEA09">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0A56913F">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6B83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8EAED66">
            <w:pPr>
              <w:widowControl/>
              <w:jc w:val="center"/>
              <w:textAlignment w:val="center"/>
              <w:rPr>
                <w:rFonts w:ascii="宋体" w:hAnsi="宋体" w:cs="宋体"/>
                <w:bCs/>
                <w:sz w:val="24"/>
                <w:highlight w:val="none"/>
              </w:rPr>
            </w:pPr>
            <w:r>
              <w:rPr>
                <w:rFonts w:hint="eastAsia" w:ascii="宋体" w:hAnsi="宋体" w:cs="宋体"/>
                <w:kern w:val="0"/>
                <w:sz w:val="24"/>
                <w:highlight w:val="none"/>
              </w:rPr>
              <w:t>11</w:t>
            </w:r>
          </w:p>
        </w:tc>
        <w:tc>
          <w:tcPr>
            <w:tcW w:w="1182" w:type="dxa"/>
            <w:vAlign w:val="center"/>
          </w:tcPr>
          <w:p w14:paraId="24255783">
            <w:pPr>
              <w:widowControl/>
              <w:jc w:val="center"/>
              <w:textAlignment w:val="center"/>
              <w:rPr>
                <w:rFonts w:ascii="宋体" w:hAnsi="宋体" w:cs="宋体"/>
                <w:bCs/>
                <w:sz w:val="24"/>
                <w:highlight w:val="none"/>
              </w:rPr>
            </w:pPr>
            <w:r>
              <w:rPr>
                <w:rFonts w:hint="eastAsia" w:ascii="宋体" w:hAnsi="宋体" w:cs="宋体"/>
                <w:kern w:val="0"/>
                <w:sz w:val="24"/>
                <w:highlight w:val="none"/>
              </w:rPr>
              <w:t>浙J85827</w:t>
            </w:r>
          </w:p>
        </w:tc>
        <w:tc>
          <w:tcPr>
            <w:tcW w:w="1112" w:type="dxa"/>
            <w:vAlign w:val="center"/>
          </w:tcPr>
          <w:p w14:paraId="53FD3C70">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C28AB9F">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4D850440">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796C9898">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7DA84124">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7F1A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7DBB944">
            <w:pPr>
              <w:widowControl/>
              <w:jc w:val="center"/>
              <w:textAlignment w:val="center"/>
              <w:rPr>
                <w:rFonts w:ascii="宋体" w:hAnsi="宋体" w:cs="宋体"/>
                <w:bCs/>
                <w:sz w:val="24"/>
                <w:highlight w:val="none"/>
              </w:rPr>
            </w:pPr>
            <w:r>
              <w:rPr>
                <w:rFonts w:hint="eastAsia" w:ascii="宋体" w:hAnsi="宋体" w:cs="宋体"/>
                <w:kern w:val="0"/>
                <w:sz w:val="24"/>
                <w:highlight w:val="none"/>
              </w:rPr>
              <w:t>12</w:t>
            </w:r>
          </w:p>
        </w:tc>
        <w:tc>
          <w:tcPr>
            <w:tcW w:w="1182" w:type="dxa"/>
            <w:vAlign w:val="center"/>
          </w:tcPr>
          <w:p w14:paraId="19F4538E">
            <w:pPr>
              <w:widowControl/>
              <w:jc w:val="center"/>
              <w:textAlignment w:val="center"/>
              <w:rPr>
                <w:rFonts w:ascii="宋体" w:hAnsi="宋体" w:cs="宋体"/>
                <w:bCs/>
                <w:sz w:val="24"/>
                <w:highlight w:val="none"/>
              </w:rPr>
            </w:pPr>
            <w:r>
              <w:rPr>
                <w:rFonts w:hint="eastAsia" w:ascii="宋体" w:hAnsi="宋体" w:cs="宋体"/>
                <w:kern w:val="0"/>
                <w:sz w:val="24"/>
                <w:highlight w:val="none"/>
              </w:rPr>
              <w:t>浙J85800</w:t>
            </w:r>
          </w:p>
        </w:tc>
        <w:tc>
          <w:tcPr>
            <w:tcW w:w="1112" w:type="dxa"/>
            <w:vAlign w:val="center"/>
          </w:tcPr>
          <w:p w14:paraId="12144200">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0FF4F4E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B4E6602">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53BD0246">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364ABCC4">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4B2F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88258DE">
            <w:pPr>
              <w:widowControl/>
              <w:jc w:val="center"/>
              <w:textAlignment w:val="center"/>
              <w:rPr>
                <w:rFonts w:ascii="宋体" w:hAnsi="宋体" w:cs="宋体"/>
                <w:bCs/>
                <w:sz w:val="24"/>
                <w:highlight w:val="none"/>
              </w:rPr>
            </w:pPr>
            <w:r>
              <w:rPr>
                <w:rFonts w:hint="eastAsia" w:ascii="宋体" w:hAnsi="宋体" w:cs="宋体"/>
                <w:kern w:val="0"/>
                <w:sz w:val="24"/>
                <w:highlight w:val="none"/>
              </w:rPr>
              <w:t>13</w:t>
            </w:r>
          </w:p>
        </w:tc>
        <w:tc>
          <w:tcPr>
            <w:tcW w:w="1182" w:type="dxa"/>
            <w:vAlign w:val="center"/>
          </w:tcPr>
          <w:p w14:paraId="48479849">
            <w:pPr>
              <w:widowControl/>
              <w:jc w:val="center"/>
              <w:textAlignment w:val="center"/>
              <w:rPr>
                <w:rFonts w:ascii="宋体" w:hAnsi="宋体" w:cs="宋体"/>
                <w:bCs/>
                <w:sz w:val="24"/>
                <w:highlight w:val="none"/>
              </w:rPr>
            </w:pPr>
            <w:r>
              <w:rPr>
                <w:rFonts w:hint="eastAsia" w:ascii="宋体" w:hAnsi="宋体" w:cs="宋体"/>
                <w:kern w:val="0"/>
                <w:sz w:val="24"/>
                <w:highlight w:val="none"/>
              </w:rPr>
              <w:t>浙J85817</w:t>
            </w:r>
          </w:p>
        </w:tc>
        <w:tc>
          <w:tcPr>
            <w:tcW w:w="1112" w:type="dxa"/>
            <w:vAlign w:val="center"/>
          </w:tcPr>
          <w:p w14:paraId="79678003">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16B70D4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714203B">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5CC60C87">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644B9C77">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16EB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F6F917C">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82" w:type="dxa"/>
            <w:vAlign w:val="center"/>
          </w:tcPr>
          <w:p w14:paraId="66E88C74">
            <w:pPr>
              <w:widowControl/>
              <w:jc w:val="center"/>
              <w:textAlignment w:val="center"/>
              <w:rPr>
                <w:rFonts w:ascii="宋体" w:hAnsi="宋体" w:cs="宋体"/>
                <w:bCs/>
                <w:sz w:val="24"/>
                <w:highlight w:val="none"/>
              </w:rPr>
            </w:pPr>
            <w:r>
              <w:rPr>
                <w:rFonts w:hint="eastAsia" w:ascii="宋体" w:hAnsi="宋体" w:cs="宋体"/>
                <w:kern w:val="0"/>
                <w:sz w:val="24"/>
                <w:highlight w:val="none"/>
              </w:rPr>
              <w:t>浙J01716</w:t>
            </w:r>
          </w:p>
        </w:tc>
        <w:tc>
          <w:tcPr>
            <w:tcW w:w="1112" w:type="dxa"/>
            <w:vAlign w:val="center"/>
          </w:tcPr>
          <w:p w14:paraId="37500BF7">
            <w:pPr>
              <w:widowControl/>
              <w:jc w:val="center"/>
              <w:textAlignment w:val="center"/>
              <w:rPr>
                <w:rFonts w:ascii="宋体" w:hAnsi="宋体" w:cs="宋体"/>
                <w:bCs/>
                <w:sz w:val="24"/>
                <w:highlight w:val="none"/>
              </w:rPr>
            </w:pPr>
            <w:r>
              <w:rPr>
                <w:rFonts w:hint="eastAsia" w:ascii="宋体" w:hAnsi="宋体" w:cs="宋体"/>
                <w:kern w:val="0"/>
                <w:sz w:val="24"/>
                <w:highlight w:val="none"/>
              </w:rPr>
              <w:t>90</w:t>
            </w:r>
          </w:p>
        </w:tc>
        <w:tc>
          <w:tcPr>
            <w:tcW w:w="1093" w:type="dxa"/>
            <w:vAlign w:val="center"/>
          </w:tcPr>
          <w:p w14:paraId="11EFEEFF">
            <w:pPr>
              <w:widowControl/>
              <w:jc w:val="center"/>
              <w:textAlignment w:val="center"/>
              <w:rPr>
                <w:rFonts w:ascii="宋体" w:hAnsi="宋体" w:cs="宋体"/>
                <w:bCs/>
                <w:sz w:val="24"/>
                <w:highlight w:val="none"/>
              </w:rPr>
            </w:pPr>
            <w:r>
              <w:rPr>
                <w:rFonts w:hint="eastAsia" w:ascii="宋体" w:hAnsi="宋体" w:cs="宋体"/>
                <w:kern w:val="0"/>
                <w:sz w:val="24"/>
                <w:highlight w:val="none"/>
              </w:rPr>
              <w:t>中型普通客车</w:t>
            </w:r>
          </w:p>
        </w:tc>
        <w:tc>
          <w:tcPr>
            <w:tcW w:w="1776" w:type="dxa"/>
            <w:vAlign w:val="center"/>
          </w:tcPr>
          <w:p w14:paraId="32DECFDC">
            <w:pPr>
              <w:widowControl/>
              <w:jc w:val="center"/>
              <w:textAlignment w:val="center"/>
              <w:rPr>
                <w:rFonts w:ascii="宋体" w:hAnsi="宋体" w:cs="宋体"/>
                <w:bCs/>
                <w:sz w:val="24"/>
                <w:highlight w:val="none"/>
              </w:rPr>
            </w:pPr>
            <w:r>
              <w:rPr>
                <w:rFonts w:hint="eastAsia" w:ascii="宋体" w:hAnsi="宋体" w:cs="宋体"/>
                <w:kern w:val="0"/>
                <w:sz w:val="24"/>
                <w:highlight w:val="none"/>
              </w:rPr>
              <w:t>海格KLQ6590E5C1</w:t>
            </w:r>
          </w:p>
        </w:tc>
        <w:tc>
          <w:tcPr>
            <w:tcW w:w="1133" w:type="dxa"/>
            <w:vAlign w:val="center"/>
          </w:tcPr>
          <w:p w14:paraId="3ED59266">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33" w:type="dxa"/>
            <w:vAlign w:val="center"/>
          </w:tcPr>
          <w:p w14:paraId="76E01F48">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690D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0872F9D">
            <w:pPr>
              <w:widowControl/>
              <w:jc w:val="center"/>
              <w:textAlignment w:val="center"/>
              <w:rPr>
                <w:rFonts w:ascii="宋体" w:hAnsi="宋体" w:cs="宋体"/>
                <w:bCs/>
                <w:sz w:val="24"/>
                <w:highlight w:val="none"/>
              </w:rPr>
            </w:pPr>
            <w:r>
              <w:rPr>
                <w:rFonts w:hint="eastAsia" w:ascii="宋体" w:hAnsi="宋体" w:cs="宋体"/>
                <w:kern w:val="0"/>
                <w:sz w:val="24"/>
                <w:highlight w:val="none"/>
              </w:rPr>
              <w:t>15</w:t>
            </w:r>
          </w:p>
        </w:tc>
        <w:tc>
          <w:tcPr>
            <w:tcW w:w="1182" w:type="dxa"/>
            <w:vAlign w:val="center"/>
          </w:tcPr>
          <w:p w14:paraId="4071CC7F">
            <w:pPr>
              <w:widowControl/>
              <w:jc w:val="center"/>
              <w:textAlignment w:val="center"/>
              <w:rPr>
                <w:rFonts w:ascii="宋体" w:hAnsi="宋体" w:cs="宋体"/>
                <w:bCs/>
                <w:sz w:val="24"/>
                <w:highlight w:val="none"/>
              </w:rPr>
            </w:pPr>
            <w:r>
              <w:rPr>
                <w:rFonts w:hint="eastAsia" w:ascii="宋体" w:hAnsi="宋体" w:cs="宋体"/>
                <w:kern w:val="0"/>
                <w:sz w:val="24"/>
                <w:highlight w:val="none"/>
              </w:rPr>
              <w:t>浙J01722</w:t>
            </w:r>
          </w:p>
        </w:tc>
        <w:tc>
          <w:tcPr>
            <w:tcW w:w="1112" w:type="dxa"/>
            <w:vAlign w:val="center"/>
          </w:tcPr>
          <w:p w14:paraId="7BFBDA66">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643803AF">
            <w:pPr>
              <w:widowControl/>
              <w:jc w:val="center"/>
              <w:textAlignment w:val="center"/>
              <w:rPr>
                <w:rFonts w:ascii="宋体" w:hAnsi="宋体" w:cs="宋体"/>
                <w:bCs/>
                <w:sz w:val="24"/>
                <w:highlight w:val="none"/>
              </w:rPr>
            </w:pPr>
            <w:r>
              <w:rPr>
                <w:rFonts w:hint="eastAsia" w:ascii="宋体" w:hAnsi="宋体" w:cs="宋体"/>
                <w:kern w:val="0"/>
                <w:sz w:val="24"/>
                <w:highlight w:val="none"/>
              </w:rPr>
              <w:t>中型普通客车</w:t>
            </w:r>
          </w:p>
        </w:tc>
        <w:tc>
          <w:tcPr>
            <w:tcW w:w="1776" w:type="dxa"/>
            <w:vAlign w:val="center"/>
          </w:tcPr>
          <w:p w14:paraId="1C24BE68">
            <w:pPr>
              <w:widowControl/>
              <w:jc w:val="center"/>
              <w:textAlignment w:val="center"/>
              <w:rPr>
                <w:rFonts w:ascii="宋体" w:hAnsi="宋体" w:cs="宋体"/>
                <w:bCs/>
                <w:sz w:val="24"/>
                <w:highlight w:val="none"/>
              </w:rPr>
            </w:pPr>
            <w:r>
              <w:rPr>
                <w:rFonts w:hint="eastAsia" w:ascii="宋体" w:hAnsi="宋体" w:cs="宋体"/>
                <w:kern w:val="0"/>
                <w:sz w:val="24"/>
                <w:highlight w:val="none"/>
              </w:rPr>
              <w:t>海格KLQ6590E5C1</w:t>
            </w:r>
          </w:p>
        </w:tc>
        <w:tc>
          <w:tcPr>
            <w:tcW w:w="1133" w:type="dxa"/>
            <w:vAlign w:val="center"/>
          </w:tcPr>
          <w:p w14:paraId="087959A2">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33" w:type="dxa"/>
            <w:vAlign w:val="center"/>
          </w:tcPr>
          <w:p w14:paraId="1A6C22EB">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4DCD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2379CAF">
            <w:pPr>
              <w:widowControl/>
              <w:jc w:val="center"/>
              <w:textAlignment w:val="center"/>
              <w:rPr>
                <w:rFonts w:ascii="宋体" w:hAnsi="宋体" w:cs="宋体"/>
                <w:bCs/>
                <w:sz w:val="24"/>
                <w:highlight w:val="none"/>
              </w:rPr>
            </w:pPr>
            <w:r>
              <w:rPr>
                <w:rFonts w:hint="eastAsia" w:ascii="宋体" w:hAnsi="宋体" w:cs="宋体"/>
                <w:kern w:val="0"/>
                <w:sz w:val="24"/>
                <w:highlight w:val="none"/>
              </w:rPr>
              <w:t>16</w:t>
            </w:r>
          </w:p>
        </w:tc>
        <w:tc>
          <w:tcPr>
            <w:tcW w:w="1182" w:type="dxa"/>
            <w:vAlign w:val="center"/>
          </w:tcPr>
          <w:p w14:paraId="1054142E">
            <w:pPr>
              <w:widowControl/>
              <w:jc w:val="center"/>
              <w:textAlignment w:val="center"/>
              <w:rPr>
                <w:rFonts w:ascii="宋体" w:hAnsi="宋体" w:cs="宋体"/>
                <w:bCs/>
                <w:sz w:val="24"/>
                <w:highlight w:val="none"/>
              </w:rPr>
            </w:pPr>
            <w:r>
              <w:rPr>
                <w:rFonts w:hint="eastAsia" w:ascii="宋体" w:hAnsi="宋体" w:cs="宋体"/>
                <w:kern w:val="0"/>
                <w:sz w:val="24"/>
                <w:highlight w:val="none"/>
              </w:rPr>
              <w:t>浙J01796</w:t>
            </w:r>
          </w:p>
        </w:tc>
        <w:tc>
          <w:tcPr>
            <w:tcW w:w="1112" w:type="dxa"/>
            <w:vAlign w:val="center"/>
          </w:tcPr>
          <w:p w14:paraId="0DC1B7E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E8FB7DF">
            <w:pPr>
              <w:widowControl/>
              <w:jc w:val="center"/>
              <w:textAlignment w:val="center"/>
              <w:rPr>
                <w:rFonts w:ascii="宋体" w:hAnsi="宋体" w:cs="宋体"/>
                <w:bCs/>
                <w:sz w:val="24"/>
                <w:highlight w:val="none"/>
              </w:rPr>
            </w:pPr>
            <w:r>
              <w:rPr>
                <w:rFonts w:hint="eastAsia" w:ascii="宋体" w:hAnsi="宋体" w:cs="宋体"/>
                <w:kern w:val="0"/>
                <w:sz w:val="24"/>
                <w:highlight w:val="none"/>
              </w:rPr>
              <w:t>中型普通客车</w:t>
            </w:r>
          </w:p>
        </w:tc>
        <w:tc>
          <w:tcPr>
            <w:tcW w:w="1776" w:type="dxa"/>
            <w:vAlign w:val="center"/>
          </w:tcPr>
          <w:p w14:paraId="65CF2261">
            <w:pPr>
              <w:widowControl/>
              <w:jc w:val="center"/>
              <w:textAlignment w:val="center"/>
              <w:rPr>
                <w:rFonts w:ascii="宋体" w:hAnsi="宋体" w:cs="宋体"/>
                <w:bCs/>
                <w:sz w:val="24"/>
                <w:highlight w:val="none"/>
              </w:rPr>
            </w:pPr>
            <w:r>
              <w:rPr>
                <w:rFonts w:hint="eastAsia" w:ascii="宋体" w:hAnsi="宋体" w:cs="宋体"/>
                <w:kern w:val="0"/>
                <w:sz w:val="24"/>
                <w:highlight w:val="none"/>
              </w:rPr>
              <w:t>海格KLQ6590E5C1</w:t>
            </w:r>
          </w:p>
        </w:tc>
        <w:tc>
          <w:tcPr>
            <w:tcW w:w="1133" w:type="dxa"/>
            <w:vAlign w:val="center"/>
          </w:tcPr>
          <w:p w14:paraId="381EE35F">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33" w:type="dxa"/>
            <w:vAlign w:val="center"/>
          </w:tcPr>
          <w:p w14:paraId="01CAD65D">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076B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02CC69D">
            <w:pPr>
              <w:widowControl/>
              <w:jc w:val="center"/>
              <w:textAlignment w:val="center"/>
              <w:rPr>
                <w:rFonts w:ascii="宋体" w:hAnsi="宋体" w:cs="宋体"/>
                <w:bCs/>
                <w:sz w:val="24"/>
                <w:highlight w:val="none"/>
              </w:rPr>
            </w:pPr>
            <w:r>
              <w:rPr>
                <w:rFonts w:hint="eastAsia" w:ascii="宋体" w:hAnsi="宋体" w:cs="宋体"/>
                <w:kern w:val="0"/>
                <w:sz w:val="24"/>
                <w:highlight w:val="none"/>
              </w:rPr>
              <w:t>17</w:t>
            </w:r>
          </w:p>
        </w:tc>
        <w:tc>
          <w:tcPr>
            <w:tcW w:w="1182" w:type="dxa"/>
            <w:vAlign w:val="center"/>
          </w:tcPr>
          <w:p w14:paraId="3374E00A">
            <w:pPr>
              <w:widowControl/>
              <w:jc w:val="center"/>
              <w:textAlignment w:val="center"/>
              <w:rPr>
                <w:rFonts w:ascii="宋体" w:hAnsi="宋体" w:cs="宋体"/>
                <w:bCs/>
                <w:sz w:val="24"/>
                <w:highlight w:val="none"/>
              </w:rPr>
            </w:pPr>
            <w:r>
              <w:rPr>
                <w:rFonts w:hint="eastAsia" w:ascii="宋体" w:hAnsi="宋体" w:cs="宋体"/>
                <w:kern w:val="0"/>
                <w:sz w:val="24"/>
                <w:highlight w:val="none"/>
              </w:rPr>
              <w:t>浙J56310</w:t>
            </w:r>
          </w:p>
        </w:tc>
        <w:tc>
          <w:tcPr>
            <w:tcW w:w="1112" w:type="dxa"/>
            <w:vAlign w:val="center"/>
          </w:tcPr>
          <w:p w14:paraId="349E3D51">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614E9DBE">
            <w:pPr>
              <w:widowControl/>
              <w:jc w:val="center"/>
              <w:textAlignment w:val="center"/>
              <w:rPr>
                <w:rFonts w:ascii="宋体" w:hAnsi="宋体" w:cs="宋体"/>
                <w:bCs/>
                <w:sz w:val="24"/>
                <w:highlight w:val="none"/>
              </w:rPr>
            </w:pPr>
            <w:r>
              <w:rPr>
                <w:rFonts w:hint="eastAsia" w:ascii="宋体" w:hAnsi="宋体" w:cs="宋体"/>
                <w:kern w:val="0"/>
                <w:sz w:val="24"/>
                <w:highlight w:val="none"/>
              </w:rPr>
              <w:t>中型普通客车</w:t>
            </w:r>
          </w:p>
        </w:tc>
        <w:tc>
          <w:tcPr>
            <w:tcW w:w="1776" w:type="dxa"/>
            <w:vAlign w:val="center"/>
          </w:tcPr>
          <w:p w14:paraId="7E64B0E2">
            <w:pPr>
              <w:widowControl/>
              <w:jc w:val="center"/>
              <w:textAlignment w:val="center"/>
              <w:rPr>
                <w:rFonts w:ascii="宋体" w:hAnsi="宋体" w:cs="宋体"/>
                <w:bCs/>
                <w:sz w:val="24"/>
                <w:highlight w:val="none"/>
              </w:rPr>
            </w:pPr>
            <w:r>
              <w:rPr>
                <w:rFonts w:hint="eastAsia" w:ascii="宋体" w:hAnsi="宋体" w:cs="宋体"/>
                <w:kern w:val="0"/>
                <w:sz w:val="24"/>
                <w:highlight w:val="none"/>
              </w:rPr>
              <w:t>海格KLQ6590E5C1</w:t>
            </w:r>
          </w:p>
        </w:tc>
        <w:tc>
          <w:tcPr>
            <w:tcW w:w="1133" w:type="dxa"/>
            <w:vAlign w:val="center"/>
          </w:tcPr>
          <w:p w14:paraId="6BF2DDCB">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33" w:type="dxa"/>
            <w:vAlign w:val="center"/>
          </w:tcPr>
          <w:p w14:paraId="6F0D8A5E">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29BE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5C89306">
            <w:pPr>
              <w:widowControl/>
              <w:jc w:val="center"/>
              <w:textAlignment w:val="center"/>
              <w:rPr>
                <w:rFonts w:ascii="宋体" w:hAnsi="宋体" w:cs="宋体"/>
                <w:bCs/>
                <w:sz w:val="24"/>
                <w:highlight w:val="none"/>
              </w:rPr>
            </w:pPr>
            <w:r>
              <w:rPr>
                <w:rFonts w:hint="eastAsia" w:ascii="宋体" w:hAnsi="宋体" w:cs="宋体"/>
                <w:kern w:val="0"/>
                <w:sz w:val="24"/>
                <w:highlight w:val="none"/>
              </w:rPr>
              <w:t>18</w:t>
            </w:r>
          </w:p>
        </w:tc>
        <w:tc>
          <w:tcPr>
            <w:tcW w:w="1182" w:type="dxa"/>
            <w:vAlign w:val="center"/>
          </w:tcPr>
          <w:p w14:paraId="023DA6D1">
            <w:pPr>
              <w:widowControl/>
              <w:jc w:val="center"/>
              <w:textAlignment w:val="center"/>
              <w:rPr>
                <w:rFonts w:ascii="宋体" w:hAnsi="宋体" w:cs="宋体"/>
                <w:bCs/>
                <w:sz w:val="24"/>
                <w:highlight w:val="none"/>
              </w:rPr>
            </w:pPr>
            <w:r>
              <w:rPr>
                <w:rFonts w:hint="eastAsia" w:ascii="宋体" w:hAnsi="宋体" w:cs="宋体"/>
                <w:kern w:val="0"/>
                <w:sz w:val="24"/>
                <w:highlight w:val="none"/>
              </w:rPr>
              <w:t>浙J19880</w:t>
            </w:r>
          </w:p>
        </w:tc>
        <w:tc>
          <w:tcPr>
            <w:tcW w:w="1112" w:type="dxa"/>
            <w:vAlign w:val="center"/>
          </w:tcPr>
          <w:p w14:paraId="4DE70CC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4F4AECD8">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0993130D">
            <w:pPr>
              <w:widowControl/>
              <w:jc w:val="center"/>
              <w:textAlignment w:val="center"/>
              <w:rPr>
                <w:rFonts w:ascii="宋体" w:hAnsi="宋体" w:cs="宋体"/>
                <w:bCs/>
                <w:sz w:val="24"/>
                <w:highlight w:val="none"/>
              </w:rPr>
            </w:pPr>
            <w:r>
              <w:rPr>
                <w:rFonts w:hint="eastAsia" w:ascii="宋体" w:hAnsi="宋体" w:cs="宋体"/>
                <w:kern w:val="0"/>
                <w:sz w:val="24"/>
                <w:highlight w:val="none"/>
              </w:rPr>
              <w:t>北方BFC6105T2</w:t>
            </w:r>
          </w:p>
        </w:tc>
        <w:tc>
          <w:tcPr>
            <w:tcW w:w="1133" w:type="dxa"/>
            <w:vAlign w:val="center"/>
          </w:tcPr>
          <w:p w14:paraId="00186B81">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2A077BCF">
            <w:pPr>
              <w:widowControl/>
              <w:jc w:val="center"/>
              <w:textAlignment w:val="center"/>
              <w:rPr>
                <w:rFonts w:ascii="宋体" w:hAnsi="宋体" w:cs="宋体"/>
                <w:bCs/>
                <w:sz w:val="24"/>
                <w:highlight w:val="none"/>
              </w:rPr>
            </w:pPr>
            <w:r>
              <w:rPr>
                <w:rFonts w:hint="eastAsia" w:ascii="宋体" w:hAnsi="宋体" w:cs="宋体"/>
                <w:kern w:val="0"/>
                <w:sz w:val="24"/>
                <w:highlight w:val="none"/>
              </w:rPr>
              <w:t>2016年8月</w:t>
            </w:r>
          </w:p>
        </w:tc>
      </w:tr>
      <w:tr w14:paraId="5275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51C455C">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82" w:type="dxa"/>
            <w:vAlign w:val="center"/>
          </w:tcPr>
          <w:p w14:paraId="04F22AB7">
            <w:pPr>
              <w:widowControl/>
              <w:jc w:val="center"/>
              <w:textAlignment w:val="center"/>
              <w:rPr>
                <w:rFonts w:ascii="宋体" w:hAnsi="宋体" w:cs="宋体"/>
                <w:bCs/>
                <w:sz w:val="24"/>
                <w:highlight w:val="none"/>
              </w:rPr>
            </w:pPr>
            <w:r>
              <w:rPr>
                <w:rFonts w:hint="eastAsia" w:ascii="宋体" w:hAnsi="宋体" w:cs="宋体"/>
                <w:kern w:val="0"/>
                <w:sz w:val="24"/>
                <w:highlight w:val="none"/>
              </w:rPr>
              <w:t>浙J19888</w:t>
            </w:r>
          </w:p>
        </w:tc>
        <w:tc>
          <w:tcPr>
            <w:tcW w:w="1112" w:type="dxa"/>
            <w:vAlign w:val="center"/>
          </w:tcPr>
          <w:p w14:paraId="0649F6C9">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F25360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948D6F6">
            <w:pPr>
              <w:widowControl/>
              <w:jc w:val="center"/>
              <w:textAlignment w:val="center"/>
              <w:rPr>
                <w:rFonts w:ascii="宋体" w:hAnsi="宋体" w:cs="宋体"/>
                <w:bCs/>
                <w:sz w:val="24"/>
                <w:highlight w:val="none"/>
              </w:rPr>
            </w:pPr>
            <w:r>
              <w:rPr>
                <w:rFonts w:hint="eastAsia" w:ascii="宋体" w:hAnsi="宋体" w:cs="宋体"/>
                <w:kern w:val="0"/>
                <w:sz w:val="24"/>
                <w:highlight w:val="none"/>
              </w:rPr>
              <w:t>北方BFC6128HSA</w:t>
            </w:r>
          </w:p>
        </w:tc>
        <w:tc>
          <w:tcPr>
            <w:tcW w:w="1133" w:type="dxa"/>
            <w:vAlign w:val="center"/>
          </w:tcPr>
          <w:p w14:paraId="315197E1">
            <w:pPr>
              <w:widowControl/>
              <w:jc w:val="center"/>
              <w:textAlignment w:val="center"/>
              <w:rPr>
                <w:rFonts w:ascii="宋体" w:hAnsi="宋体" w:cs="宋体"/>
                <w:bCs/>
                <w:sz w:val="24"/>
                <w:highlight w:val="none"/>
              </w:rPr>
            </w:pPr>
            <w:r>
              <w:rPr>
                <w:rFonts w:hint="eastAsia" w:ascii="宋体" w:hAnsi="宋体" w:cs="宋体"/>
                <w:kern w:val="0"/>
                <w:sz w:val="24"/>
                <w:highlight w:val="none"/>
              </w:rPr>
              <w:t>55</w:t>
            </w:r>
          </w:p>
        </w:tc>
        <w:tc>
          <w:tcPr>
            <w:tcW w:w="1133" w:type="dxa"/>
            <w:vAlign w:val="center"/>
          </w:tcPr>
          <w:p w14:paraId="6F4FADF3">
            <w:pPr>
              <w:widowControl/>
              <w:jc w:val="center"/>
              <w:textAlignment w:val="center"/>
              <w:rPr>
                <w:rFonts w:ascii="宋体" w:hAnsi="宋体" w:cs="宋体"/>
                <w:bCs/>
                <w:sz w:val="24"/>
                <w:highlight w:val="none"/>
              </w:rPr>
            </w:pPr>
            <w:r>
              <w:rPr>
                <w:rFonts w:hint="eastAsia" w:ascii="宋体" w:hAnsi="宋体" w:cs="宋体"/>
                <w:kern w:val="0"/>
                <w:sz w:val="24"/>
                <w:highlight w:val="none"/>
              </w:rPr>
              <w:t>2016年8月</w:t>
            </w:r>
          </w:p>
        </w:tc>
      </w:tr>
      <w:tr w14:paraId="591F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34F60A6">
            <w:pPr>
              <w:widowControl/>
              <w:jc w:val="center"/>
              <w:textAlignment w:val="center"/>
              <w:rPr>
                <w:rFonts w:ascii="宋体" w:hAnsi="宋体" w:cs="宋体"/>
                <w:bCs/>
                <w:sz w:val="24"/>
                <w:highlight w:val="none"/>
              </w:rPr>
            </w:pPr>
            <w:r>
              <w:rPr>
                <w:rFonts w:hint="eastAsia" w:ascii="宋体" w:hAnsi="宋体" w:cs="宋体"/>
                <w:kern w:val="0"/>
                <w:sz w:val="24"/>
                <w:highlight w:val="none"/>
              </w:rPr>
              <w:t>20</w:t>
            </w:r>
          </w:p>
        </w:tc>
        <w:tc>
          <w:tcPr>
            <w:tcW w:w="1182" w:type="dxa"/>
            <w:vAlign w:val="center"/>
          </w:tcPr>
          <w:p w14:paraId="265685CC">
            <w:pPr>
              <w:widowControl/>
              <w:jc w:val="center"/>
              <w:textAlignment w:val="center"/>
              <w:rPr>
                <w:rFonts w:ascii="宋体" w:hAnsi="宋体" w:cs="宋体"/>
                <w:bCs/>
                <w:sz w:val="24"/>
                <w:highlight w:val="none"/>
              </w:rPr>
            </w:pPr>
            <w:r>
              <w:rPr>
                <w:rFonts w:hint="eastAsia" w:ascii="宋体" w:hAnsi="宋体" w:cs="宋体"/>
                <w:kern w:val="0"/>
                <w:sz w:val="24"/>
                <w:highlight w:val="none"/>
              </w:rPr>
              <w:t>浙J73702</w:t>
            </w:r>
          </w:p>
        </w:tc>
        <w:tc>
          <w:tcPr>
            <w:tcW w:w="1112" w:type="dxa"/>
            <w:vAlign w:val="center"/>
          </w:tcPr>
          <w:p w14:paraId="6C13381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913734C">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66AC3A3">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青年JNP6110T</w:t>
            </w:r>
          </w:p>
        </w:tc>
        <w:tc>
          <w:tcPr>
            <w:tcW w:w="1133" w:type="dxa"/>
            <w:vAlign w:val="center"/>
          </w:tcPr>
          <w:p w14:paraId="1DD91230">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482498B5">
            <w:pPr>
              <w:widowControl/>
              <w:jc w:val="center"/>
              <w:textAlignment w:val="center"/>
              <w:rPr>
                <w:rFonts w:ascii="宋体" w:hAnsi="宋体" w:cs="宋体"/>
                <w:bCs/>
                <w:sz w:val="24"/>
                <w:highlight w:val="none"/>
              </w:rPr>
            </w:pPr>
            <w:r>
              <w:rPr>
                <w:rFonts w:hint="eastAsia" w:ascii="宋体" w:hAnsi="宋体" w:cs="宋体"/>
                <w:kern w:val="0"/>
                <w:sz w:val="24"/>
                <w:highlight w:val="none"/>
              </w:rPr>
              <w:t>2012年3月</w:t>
            </w:r>
          </w:p>
        </w:tc>
      </w:tr>
      <w:tr w14:paraId="0397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7C1B704">
            <w:pPr>
              <w:widowControl/>
              <w:jc w:val="center"/>
              <w:textAlignment w:val="center"/>
              <w:rPr>
                <w:rFonts w:ascii="宋体" w:hAnsi="宋体" w:cs="宋体"/>
                <w:bCs/>
                <w:sz w:val="24"/>
                <w:highlight w:val="none"/>
              </w:rPr>
            </w:pPr>
            <w:r>
              <w:rPr>
                <w:rFonts w:hint="eastAsia" w:ascii="宋体" w:hAnsi="宋体" w:cs="宋体"/>
                <w:kern w:val="0"/>
                <w:sz w:val="24"/>
                <w:highlight w:val="none"/>
              </w:rPr>
              <w:t>21</w:t>
            </w:r>
          </w:p>
        </w:tc>
        <w:tc>
          <w:tcPr>
            <w:tcW w:w="1182" w:type="dxa"/>
            <w:vAlign w:val="center"/>
          </w:tcPr>
          <w:p w14:paraId="4BB7B42E">
            <w:pPr>
              <w:widowControl/>
              <w:jc w:val="center"/>
              <w:textAlignment w:val="center"/>
              <w:rPr>
                <w:rFonts w:ascii="宋体" w:hAnsi="宋体" w:cs="宋体"/>
                <w:bCs/>
                <w:sz w:val="24"/>
                <w:highlight w:val="none"/>
              </w:rPr>
            </w:pPr>
            <w:r>
              <w:rPr>
                <w:rFonts w:hint="eastAsia" w:ascii="宋体" w:hAnsi="宋体" w:cs="宋体"/>
                <w:kern w:val="0"/>
                <w:sz w:val="24"/>
                <w:highlight w:val="none"/>
              </w:rPr>
              <w:t>浙J73928</w:t>
            </w:r>
          </w:p>
        </w:tc>
        <w:tc>
          <w:tcPr>
            <w:tcW w:w="1112" w:type="dxa"/>
            <w:vAlign w:val="center"/>
          </w:tcPr>
          <w:p w14:paraId="7F2DC002">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AF3922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D0B9C12">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青年JNP6110T</w:t>
            </w:r>
          </w:p>
        </w:tc>
        <w:tc>
          <w:tcPr>
            <w:tcW w:w="1133" w:type="dxa"/>
            <w:vAlign w:val="center"/>
          </w:tcPr>
          <w:p w14:paraId="678FE422">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5EA72C24">
            <w:pPr>
              <w:widowControl/>
              <w:jc w:val="center"/>
              <w:textAlignment w:val="center"/>
              <w:rPr>
                <w:rFonts w:ascii="宋体" w:hAnsi="宋体" w:cs="宋体"/>
                <w:bCs/>
                <w:sz w:val="24"/>
                <w:highlight w:val="none"/>
              </w:rPr>
            </w:pPr>
            <w:r>
              <w:rPr>
                <w:rFonts w:hint="eastAsia" w:ascii="宋体" w:hAnsi="宋体" w:cs="宋体"/>
                <w:kern w:val="0"/>
                <w:sz w:val="24"/>
                <w:highlight w:val="none"/>
              </w:rPr>
              <w:t>2012年3月</w:t>
            </w:r>
          </w:p>
        </w:tc>
      </w:tr>
      <w:tr w14:paraId="71FF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CADB38F">
            <w:pPr>
              <w:widowControl/>
              <w:jc w:val="center"/>
              <w:textAlignment w:val="center"/>
              <w:rPr>
                <w:rFonts w:ascii="宋体" w:hAnsi="宋体" w:cs="宋体"/>
                <w:bCs/>
                <w:sz w:val="24"/>
                <w:highlight w:val="none"/>
              </w:rPr>
            </w:pPr>
            <w:r>
              <w:rPr>
                <w:rFonts w:hint="eastAsia" w:ascii="宋体" w:hAnsi="宋体" w:cs="宋体"/>
                <w:kern w:val="0"/>
                <w:sz w:val="24"/>
                <w:highlight w:val="none"/>
              </w:rPr>
              <w:t>22</w:t>
            </w:r>
          </w:p>
        </w:tc>
        <w:tc>
          <w:tcPr>
            <w:tcW w:w="1182" w:type="dxa"/>
            <w:vAlign w:val="center"/>
          </w:tcPr>
          <w:p w14:paraId="2FDBC29B">
            <w:pPr>
              <w:widowControl/>
              <w:jc w:val="center"/>
              <w:textAlignment w:val="center"/>
              <w:rPr>
                <w:rFonts w:ascii="宋体" w:hAnsi="宋体" w:cs="宋体"/>
                <w:bCs/>
                <w:sz w:val="24"/>
                <w:highlight w:val="none"/>
              </w:rPr>
            </w:pPr>
            <w:r>
              <w:rPr>
                <w:rFonts w:hint="eastAsia" w:ascii="宋体" w:hAnsi="宋体" w:cs="宋体"/>
                <w:kern w:val="0"/>
                <w:sz w:val="24"/>
                <w:highlight w:val="none"/>
              </w:rPr>
              <w:t>浙J78976</w:t>
            </w:r>
          </w:p>
        </w:tc>
        <w:tc>
          <w:tcPr>
            <w:tcW w:w="1112" w:type="dxa"/>
            <w:vAlign w:val="center"/>
          </w:tcPr>
          <w:p w14:paraId="65408D47">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C33BD8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79C5520">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青年JNP6110T</w:t>
            </w:r>
          </w:p>
        </w:tc>
        <w:tc>
          <w:tcPr>
            <w:tcW w:w="1133" w:type="dxa"/>
            <w:vAlign w:val="center"/>
          </w:tcPr>
          <w:p w14:paraId="081746C5">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32052E9A">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41E5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5C147D9">
            <w:pPr>
              <w:widowControl/>
              <w:jc w:val="center"/>
              <w:textAlignment w:val="center"/>
              <w:rPr>
                <w:rFonts w:ascii="宋体" w:hAnsi="宋体" w:cs="宋体"/>
                <w:bCs/>
                <w:sz w:val="24"/>
                <w:highlight w:val="none"/>
              </w:rPr>
            </w:pPr>
            <w:r>
              <w:rPr>
                <w:rFonts w:hint="eastAsia" w:ascii="宋体" w:hAnsi="宋体" w:cs="宋体"/>
                <w:kern w:val="0"/>
                <w:sz w:val="24"/>
                <w:highlight w:val="none"/>
              </w:rPr>
              <w:t>23</w:t>
            </w:r>
          </w:p>
        </w:tc>
        <w:tc>
          <w:tcPr>
            <w:tcW w:w="1182" w:type="dxa"/>
            <w:vAlign w:val="center"/>
          </w:tcPr>
          <w:p w14:paraId="4F79656B">
            <w:pPr>
              <w:widowControl/>
              <w:jc w:val="center"/>
              <w:textAlignment w:val="center"/>
              <w:rPr>
                <w:rFonts w:ascii="宋体" w:hAnsi="宋体" w:cs="宋体"/>
                <w:bCs/>
                <w:sz w:val="24"/>
                <w:highlight w:val="none"/>
              </w:rPr>
            </w:pPr>
            <w:r>
              <w:rPr>
                <w:rFonts w:hint="eastAsia" w:ascii="宋体" w:hAnsi="宋体" w:cs="宋体"/>
                <w:kern w:val="0"/>
                <w:sz w:val="24"/>
                <w:highlight w:val="none"/>
              </w:rPr>
              <w:t>浙J78907</w:t>
            </w:r>
          </w:p>
        </w:tc>
        <w:tc>
          <w:tcPr>
            <w:tcW w:w="1112" w:type="dxa"/>
            <w:vAlign w:val="center"/>
          </w:tcPr>
          <w:p w14:paraId="3DF4207D">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40A9F220">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614860BB">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青年JNP6122DE</w:t>
            </w:r>
          </w:p>
        </w:tc>
        <w:tc>
          <w:tcPr>
            <w:tcW w:w="1133" w:type="dxa"/>
            <w:vAlign w:val="center"/>
          </w:tcPr>
          <w:p w14:paraId="6FDEF241">
            <w:pPr>
              <w:widowControl/>
              <w:jc w:val="center"/>
              <w:textAlignment w:val="center"/>
              <w:rPr>
                <w:rFonts w:ascii="宋体" w:hAnsi="宋体" w:cs="宋体"/>
                <w:bCs/>
                <w:sz w:val="24"/>
                <w:highlight w:val="none"/>
              </w:rPr>
            </w:pPr>
            <w:r>
              <w:rPr>
                <w:rFonts w:hint="eastAsia" w:ascii="宋体" w:hAnsi="宋体" w:cs="宋体"/>
                <w:kern w:val="0"/>
                <w:sz w:val="24"/>
                <w:highlight w:val="none"/>
              </w:rPr>
              <w:t>53</w:t>
            </w:r>
          </w:p>
        </w:tc>
        <w:tc>
          <w:tcPr>
            <w:tcW w:w="1133" w:type="dxa"/>
            <w:vAlign w:val="center"/>
          </w:tcPr>
          <w:p w14:paraId="757A4F63">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75A8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B596ED4">
            <w:pPr>
              <w:widowControl/>
              <w:jc w:val="center"/>
              <w:textAlignment w:val="center"/>
              <w:rPr>
                <w:rFonts w:ascii="宋体" w:hAnsi="宋体" w:cs="宋体"/>
                <w:bCs/>
                <w:sz w:val="24"/>
                <w:highlight w:val="none"/>
              </w:rPr>
            </w:pPr>
            <w:r>
              <w:rPr>
                <w:rFonts w:hint="eastAsia" w:ascii="宋体" w:hAnsi="宋体" w:cs="宋体"/>
                <w:kern w:val="0"/>
                <w:sz w:val="24"/>
                <w:highlight w:val="none"/>
              </w:rPr>
              <w:t>24</w:t>
            </w:r>
          </w:p>
        </w:tc>
        <w:tc>
          <w:tcPr>
            <w:tcW w:w="1182" w:type="dxa"/>
            <w:vAlign w:val="center"/>
          </w:tcPr>
          <w:p w14:paraId="45E1366E">
            <w:pPr>
              <w:widowControl/>
              <w:jc w:val="center"/>
              <w:textAlignment w:val="center"/>
              <w:rPr>
                <w:rFonts w:ascii="宋体" w:hAnsi="宋体" w:cs="宋体"/>
                <w:bCs/>
                <w:sz w:val="24"/>
                <w:highlight w:val="none"/>
              </w:rPr>
            </w:pPr>
            <w:r>
              <w:rPr>
                <w:rFonts w:hint="eastAsia" w:ascii="宋体" w:hAnsi="宋体" w:cs="宋体"/>
                <w:kern w:val="0"/>
                <w:sz w:val="24"/>
                <w:highlight w:val="none"/>
              </w:rPr>
              <w:t>浙J91383</w:t>
            </w:r>
          </w:p>
        </w:tc>
        <w:tc>
          <w:tcPr>
            <w:tcW w:w="1112" w:type="dxa"/>
            <w:vAlign w:val="center"/>
          </w:tcPr>
          <w:p w14:paraId="6F614AB8">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AD4B5D2">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A7D1A47">
            <w:pPr>
              <w:widowControl/>
              <w:jc w:val="center"/>
              <w:textAlignment w:val="center"/>
              <w:rPr>
                <w:rFonts w:ascii="宋体" w:hAnsi="宋体" w:cs="宋体"/>
                <w:bCs/>
                <w:sz w:val="24"/>
                <w:highlight w:val="none"/>
              </w:rPr>
            </w:pPr>
            <w:r>
              <w:rPr>
                <w:rFonts w:hint="eastAsia" w:ascii="宋体" w:hAnsi="宋体" w:cs="宋体"/>
                <w:kern w:val="0"/>
                <w:sz w:val="24"/>
                <w:highlight w:val="none"/>
              </w:rPr>
              <w:t>柯斯达SCT6703XZB53L</w:t>
            </w:r>
          </w:p>
        </w:tc>
        <w:tc>
          <w:tcPr>
            <w:tcW w:w="1133" w:type="dxa"/>
            <w:vAlign w:val="center"/>
          </w:tcPr>
          <w:p w14:paraId="76899E0B">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441485A0">
            <w:pPr>
              <w:widowControl/>
              <w:jc w:val="center"/>
              <w:textAlignment w:val="center"/>
              <w:rPr>
                <w:rFonts w:ascii="宋体" w:hAnsi="宋体" w:cs="宋体"/>
                <w:bCs/>
                <w:sz w:val="24"/>
                <w:highlight w:val="none"/>
              </w:rPr>
            </w:pPr>
            <w:r>
              <w:rPr>
                <w:rFonts w:hint="eastAsia" w:ascii="宋体" w:hAnsi="宋体" w:cs="宋体"/>
                <w:kern w:val="0"/>
                <w:sz w:val="24"/>
                <w:highlight w:val="none"/>
              </w:rPr>
              <w:t>2014年12月</w:t>
            </w:r>
          </w:p>
        </w:tc>
      </w:tr>
      <w:tr w14:paraId="3149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96B3C4E">
            <w:pPr>
              <w:widowControl/>
              <w:jc w:val="center"/>
              <w:textAlignment w:val="center"/>
              <w:rPr>
                <w:rFonts w:ascii="宋体" w:hAnsi="宋体" w:cs="宋体"/>
                <w:bCs/>
                <w:sz w:val="24"/>
                <w:highlight w:val="none"/>
              </w:rPr>
            </w:pPr>
            <w:r>
              <w:rPr>
                <w:rFonts w:hint="eastAsia" w:ascii="宋体" w:hAnsi="宋体" w:cs="宋体"/>
                <w:kern w:val="0"/>
                <w:sz w:val="24"/>
                <w:highlight w:val="none"/>
              </w:rPr>
              <w:t>25</w:t>
            </w:r>
          </w:p>
        </w:tc>
        <w:tc>
          <w:tcPr>
            <w:tcW w:w="1182" w:type="dxa"/>
            <w:vAlign w:val="center"/>
          </w:tcPr>
          <w:p w14:paraId="3A6EB02C">
            <w:pPr>
              <w:widowControl/>
              <w:jc w:val="center"/>
              <w:textAlignment w:val="center"/>
              <w:rPr>
                <w:rFonts w:ascii="宋体" w:hAnsi="宋体" w:cs="宋体"/>
                <w:bCs/>
                <w:sz w:val="24"/>
                <w:highlight w:val="none"/>
              </w:rPr>
            </w:pPr>
            <w:r>
              <w:rPr>
                <w:rFonts w:hint="eastAsia" w:ascii="宋体" w:hAnsi="宋体" w:cs="宋体"/>
                <w:kern w:val="0"/>
                <w:sz w:val="24"/>
                <w:highlight w:val="none"/>
              </w:rPr>
              <w:t>浙J92021</w:t>
            </w:r>
          </w:p>
        </w:tc>
        <w:tc>
          <w:tcPr>
            <w:tcW w:w="1112" w:type="dxa"/>
            <w:vAlign w:val="center"/>
          </w:tcPr>
          <w:p w14:paraId="49862BE2">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0558B38">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1E66743">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金龙XMQ6113BYD4B</w:t>
            </w:r>
          </w:p>
        </w:tc>
        <w:tc>
          <w:tcPr>
            <w:tcW w:w="1133" w:type="dxa"/>
            <w:vAlign w:val="center"/>
          </w:tcPr>
          <w:p w14:paraId="7E787395">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6189D3A7">
            <w:pPr>
              <w:widowControl/>
              <w:jc w:val="center"/>
              <w:textAlignment w:val="center"/>
              <w:rPr>
                <w:rFonts w:ascii="宋体" w:hAnsi="宋体" w:cs="宋体"/>
                <w:bCs/>
                <w:sz w:val="24"/>
                <w:highlight w:val="none"/>
              </w:rPr>
            </w:pPr>
            <w:r>
              <w:rPr>
                <w:rFonts w:hint="eastAsia" w:ascii="宋体" w:hAnsi="宋体" w:cs="宋体"/>
                <w:kern w:val="0"/>
                <w:sz w:val="24"/>
                <w:highlight w:val="none"/>
              </w:rPr>
              <w:t>2015年1月</w:t>
            </w:r>
          </w:p>
        </w:tc>
      </w:tr>
      <w:tr w14:paraId="3902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05C34D7E">
            <w:pPr>
              <w:widowControl/>
              <w:jc w:val="center"/>
              <w:textAlignment w:val="center"/>
              <w:rPr>
                <w:rFonts w:ascii="宋体" w:hAnsi="宋体" w:cs="宋体"/>
                <w:bCs/>
                <w:sz w:val="24"/>
                <w:highlight w:val="none"/>
              </w:rPr>
            </w:pPr>
            <w:r>
              <w:rPr>
                <w:rFonts w:hint="eastAsia" w:ascii="宋体" w:hAnsi="宋体" w:cs="宋体"/>
                <w:kern w:val="0"/>
                <w:sz w:val="24"/>
                <w:highlight w:val="none"/>
              </w:rPr>
              <w:t>26</w:t>
            </w:r>
          </w:p>
        </w:tc>
        <w:tc>
          <w:tcPr>
            <w:tcW w:w="1182" w:type="dxa"/>
            <w:vAlign w:val="center"/>
          </w:tcPr>
          <w:p w14:paraId="3DE1AEA5">
            <w:pPr>
              <w:widowControl/>
              <w:jc w:val="center"/>
              <w:textAlignment w:val="center"/>
              <w:rPr>
                <w:rFonts w:ascii="宋体" w:hAnsi="宋体" w:cs="宋体"/>
                <w:bCs/>
                <w:sz w:val="24"/>
                <w:highlight w:val="none"/>
              </w:rPr>
            </w:pPr>
            <w:r>
              <w:rPr>
                <w:rFonts w:hint="eastAsia" w:ascii="宋体" w:hAnsi="宋体" w:cs="宋体"/>
                <w:kern w:val="0"/>
                <w:sz w:val="24"/>
                <w:highlight w:val="none"/>
              </w:rPr>
              <w:t>浙J92023</w:t>
            </w:r>
          </w:p>
        </w:tc>
        <w:tc>
          <w:tcPr>
            <w:tcW w:w="1112" w:type="dxa"/>
            <w:vAlign w:val="center"/>
          </w:tcPr>
          <w:p w14:paraId="4E0546DD">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44F4726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8461D89">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金龙XMQ6125CYD4C</w:t>
            </w:r>
          </w:p>
        </w:tc>
        <w:tc>
          <w:tcPr>
            <w:tcW w:w="1133" w:type="dxa"/>
            <w:vAlign w:val="center"/>
          </w:tcPr>
          <w:p w14:paraId="71B20120">
            <w:pPr>
              <w:widowControl/>
              <w:jc w:val="center"/>
              <w:textAlignment w:val="center"/>
              <w:rPr>
                <w:rFonts w:ascii="宋体" w:hAnsi="宋体" w:cs="宋体"/>
                <w:bCs/>
                <w:sz w:val="24"/>
                <w:highlight w:val="none"/>
              </w:rPr>
            </w:pPr>
            <w:r>
              <w:rPr>
                <w:rFonts w:hint="eastAsia" w:ascii="宋体" w:hAnsi="宋体" w:cs="宋体"/>
                <w:kern w:val="0"/>
                <w:sz w:val="24"/>
                <w:highlight w:val="none"/>
              </w:rPr>
              <w:t>55</w:t>
            </w:r>
          </w:p>
        </w:tc>
        <w:tc>
          <w:tcPr>
            <w:tcW w:w="1133" w:type="dxa"/>
            <w:vAlign w:val="center"/>
          </w:tcPr>
          <w:p w14:paraId="7F34C22B">
            <w:pPr>
              <w:widowControl/>
              <w:jc w:val="center"/>
              <w:textAlignment w:val="center"/>
              <w:rPr>
                <w:rFonts w:ascii="宋体" w:hAnsi="宋体" w:cs="宋体"/>
                <w:bCs/>
                <w:sz w:val="24"/>
                <w:highlight w:val="none"/>
              </w:rPr>
            </w:pPr>
            <w:r>
              <w:rPr>
                <w:rFonts w:hint="eastAsia" w:ascii="宋体" w:hAnsi="宋体" w:cs="宋体"/>
                <w:kern w:val="0"/>
                <w:sz w:val="24"/>
                <w:highlight w:val="none"/>
              </w:rPr>
              <w:t>2015年1月</w:t>
            </w:r>
          </w:p>
        </w:tc>
      </w:tr>
      <w:tr w14:paraId="0159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732C920">
            <w:pPr>
              <w:widowControl/>
              <w:jc w:val="center"/>
              <w:textAlignment w:val="center"/>
              <w:rPr>
                <w:rFonts w:ascii="宋体" w:hAnsi="宋体" w:cs="宋体"/>
                <w:bCs/>
                <w:sz w:val="24"/>
                <w:highlight w:val="none"/>
              </w:rPr>
            </w:pPr>
            <w:r>
              <w:rPr>
                <w:rFonts w:hint="eastAsia" w:ascii="宋体" w:hAnsi="宋体" w:cs="宋体"/>
                <w:kern w:val="0"/>
                <w:sz w:val="24"/>
                <w:highlight w:val="none"/>
              </w:rPr>
              <w:t>27</w:t>
            </w:r>
          </w:p>
        </w:tc>
        <w:tc>
          <w:tcPr>
            <w:tcW w:w="1182" w:type="dxa"/>
            <w:vAlign w:val="center"/>
          </w:tcPr>
          <w:p w14:paraId="0F539E01">
            <w:pPr>
              <w:widowControl/>
              <w:jc w:val="center"/>
              <w:textAlignment w:val="center"/>
              <w:rPr>
                <w:rFonts w:ascii="宋体" w:hAnsi="宋体" w:cs="宋体"/>
                <w:bCs/>
                <w:sz w:val="24"/>
                <w:highlight w:val="none"/>
              </w:rPr>
            </w:pPr>
            <w:r>
              <w:rPr>
                <w:rFonts w:hint="eastAsia" w:ascii="宋体" w:hAnsi="宋体" w:cs="宋体"/>
                <w:kern w:val="0"/>
                <w:sz w:val="24"/>
                <w:highlight w:val="none"/>
              </w:rPr>
              <w:t>浙J17310</w:t>
            </w:r>
          </w:p>
        </w:tc>
        <w:tc>
          <w:tcPr>
            <w:tcW w:w="1112" w:type="dxa"/>
            <w:vAlign w:val="center"/>
          </w:tcPr>
          <w:p w14:paraId="4D8FCDD0">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00CD54A">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FAF7E60">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青年JNP6122M-1</w:t>
            </w:r>
          </w:p>
        </w:tc>
        <w:tc>
          <w:tcPr>
            <w:tcW w:w="1133" w:type="dxa"/>
            <w:vAlign w:val="center"/>
          </w:tcPr>
          <w:p w14:paraId="75E751FA">
            <w:pPr>
              <w:widowControl/>
              <w:jc w:val="center"/>
              <w:textAlignment w:val="center"/>
              <w:rPr>
                <w:rFonts w:ascii="宋体" w:hAnsi="宋体" w:cs="宋体"/>
                <w:bCs/>
                <w:sz w:val="24"/>
                <w:highlight w:val="none"/>
              </w:rPr>
            </w:pPr>
            <w:r>
              <w:rPr>
                <w:rFonts w:hint="eastAsia" w:ascii="宋体" w:hAnsi="宋体" w:cs="宋体"/>
                <w:kern w:val="0"/>
                <w:sz w:val="24"/>
                <w:highlight w:val="none"/>
              </w:rPr>
              <w:t>51</w:t>
            </w:r>
          </w:p>
        </w:tc>
        <w:tc>
          <w:tcPr>
            <w:tcW w:w="1133" w:type="dxa"/>
            <w:vAlign w:val="center"/>
          </w:tcPr>
          <w:p w14:paraId="2C38A110">
            <w:pPr>
              <w:widowControl/>
              <w:jc w:val="center"/>
              <w:textAlignment w:val="center"/>
              <w:rPr>
                <w:rFonts w:ascii="宋体" w:hAnsi="宋体" w:cs="宋体"/>
                <w:bCs/>
                <w:sz w:val="24"/>
                <w:highlight w:val="none"/>
              </w:rPr>
            </w:pPr>
            <w:r>
              <w:rPr>
                <w:rFonts w:hint="eastAsia" w:ascii="宋体" w:hAnsi="宋体" w:cs="宋体"/>
                <w:kern w:val="0"/>
                <w:sz w:val="24"/>
                <w:highlight w:val="none"/>
              </w:rPr>
              <w:t>2016年1月</w:t>
            </w:r>
          </w:p>
        </w:tc>
      </w:tr>
      <w:tr w14:paraId="77EE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2938BA5">
            <w:pPr>
              <w:widowControl/>
              <w:jc w:val="center"/>
              <w:textAlignment w:val="center"/>
              <w:rPr>
                <w:rFonts w:ascii="宋体" w:hAnsi="宋体" w:cs="宋体"/>
                <w:bCs/>
                <w:sz w:val="24"/>
                <w:highlight w:val="none"/>
              </w:rPr>
            </w:pPr>
            <w:r>
              <w:rPr>
                <w:rFonts w:hint="eastAsia" w:ascii="宋体" w:hAnsi="宋体" w:cs="宋体"/>
                <w:kern w:val="0"/>
                <w:sz w:val="24"/>
                <w:highlight w:val="none"/>
              </w:rPr>
              <w:t>28</w:t>
            </w:r>
          </w:p>
        </w:tc>
        <w:tc>
          <w:tcPr>
            <w:tcW w:w="1182" w:type="dxa"/>
            <w:vAlign w:val="center"/>
          </w:tcPr>
          <w:p w14:paraId="2CAC77AE">
            <w:pPr>
              <w:widowControl/>
              <w:jc w:val="center"/>
              <w:textAlignment w:val="center"/>
              <w:rPr>
                <w:rFonts w:ascii="宋体" w:hAnsi="宋体" w:cs="宋体"/>
                <w:bCs/>
                <w:sz w:val="24"/>
                <w:highlight w:val="none"/>
              </w:rPr>
            </w:pPr>
            <w:r>
              <w:rPr>
                <w:rFonts w:hint="eastAsia" w:ascii="宋体" w:hAnsi="宋体" w:cs="宋体"/>
                <w:kern w:val="0"/>
                <w:sz w:val="24"/>
                <w:highlight w:val="none"/>
              </w:rPr>
              <w:t>浙J23305</w:t>
            </w:r>
          </w:p>
        </w:tc>
        <w:tc>
          <w:tcPr>
            <w:tcW w:w="1112" w:type="dxa"/>
            <w:vAlign w:val="center"/>
          </w:tcPr>
          <w:p w14:paraId="1B93CB26">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404C8284">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6EED433">
            <w:pPr>
              <w:widowControl/>
              <w:jc w:val="center"/>
              <w:textAlignment w:val="center"/>
              <w:rPr>
                <w:rFonts w:ascii="宋体" w:hAnsi="宋体" w:cs="宋体"/>
                <w:bCs/>
                <w:sz w:val="24"/>
                <w:highlight w:val="none"/>
              </w:rPr>
            </w:pPr>
            <w:r>
              <w:rPr>
                <w:rFonts w:hint="eastAsia" w:ascii="宋体" w:hAnsi="宋体" w:cs="宋体"/>
                <w:kern w:val="0"/>
                <w:sz w:val="24"/>
                <w:highlight w:val="none"/>
              </w:rPr>
              <w:t>北方BFC6105T2</w:t>
            </w:r>
          </w:p>
        </w:tc>
        <w:tc>
          <w:tcPr>
            <w:tcW w:w="1133" w:type="dxa"/>
            <w:vAlign w:val="center"/>
          </w:tcPr>
          <w:p w14:paraId="3D2B87E3">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59AD69D2">
            <w:pPr>
              <w:widowControl/>
              <w:jc w:val="center"/>
              <w:textAlignment w:val="center"/>
              <w:rPr>
                <w:rFonts w:ascii="宋体" w:hAnsi="宋体" w:cs="宋体"/>
                <w:bCs/>
                <w:sz w:val="24"/>
                <w:highlight w:val="none"/>
              </w:rPr>
            </w:pPr>
            <w:r>
              <w:rPr>
                <w:rFonts w:hint="eastAsia" w:ascii="宋体" w:hAnsi="宋体" w:cs="宋体"/>
                <w:kern w:val="0"/>
                <w:sz w:val="24"/>
                <w:highlight w:val="none"/>
              </w:rPr>
              <w:t>2016年12月</w:t>
            </w:r>
          </w:p>
        </w:tc>
      </w:tr>
      <w:tr w14:paraId="29A1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2A224E8">
            <w:pPr>
              <w:widowControl/>
              <w:jc w:val="center"/>
              <w:textAlignment w:val="center"/>
              <w:rPr>
                <w:rFonts w:ascii="宋体" w:hAnsi="宋体" w:cs="宋体"/>
                <w:bCs/>
                <w:sz w:val="24"/>
                <w:highlight w:val="none"/>
              </w:rPr>
            </w:pPr>
            <w:r>
              <w:rPr>
                <w:rFonts w:hint="eastAsia" w:ascii="宋体" w:hAnsi="宋体" w:cs="宋体"/>
                <w:kern w:val="0"/>
                <w:sz w:val="24"/>
                <w:highlight w:val="none"/>
              </w:rPr>
              <w:t>29</w:t>
            </w:r>
          </w:p>
        </w:tc>
        <w:tc>
          <w:tcPr>
            <w:tcW w:w="1182" w:type="dxa"/>
            <w:vAlign w:val="center"/>
          </w:tcPr>
          <w:p w14:paraId="3F875F6F">
            <w:pPr>
              <w:widowControl/>
              <w:jc w:val="center"/>
              <w:textAlignment w:val="center"/>
              <w:rPr>
                <w:rFonts w:ascii="宋体" w:hAnsi="宋体" w:cs="宋体"/>
                <w:bCs/>
                <w:sz w:val="24"/>
                <w:highlight w:val="none"/>
              </w:rPr>
            </w:pPr>
            <w:r>
              <w:rPr>
                <w:rFonts w:hint="eastAsia" w:ascii="宋体" w:hAnsi="宋体" w:cs="宋体"/>
                <w:kern w:val="0"/>
                <w:sz w:val="24"/>
                <w:highlight w:val="none"/>
              </w:rPr>
              <w:t>浙J23273</w:t>
            </w:r>
          </w:p>
        </w:tc>
        <w:tc>
          <w:tcPr>
            <w:tcW w:w="1112" w:type="dxa"/>
            <w:vAlign w:val="center"/>
          </w:tcPr>
          <w:p w14:paraId="4059168A">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8F78C2A">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3BA3E4F4">
            <w:pPr>
              <w:widowControl/>
              <w:jc w:val="center"/>
              <w:textAlignment w:val="center"/>
              <w:rPr>
                <w:rFonts w:ascii="宋体" w:hAnsi="宋体" w:cs="宋体"/>
                <w:bCs/>
                <w:sz w:val="24"/>
                <w:highlight w:val="none"/>
              </w:rPr>
            </w:pPr>
            <w:r>
              <w:rPr>
                <w:rFonts w:hint="eastAsia" w:ascii="宋体" w:hAnsi="宋体" w:cs="宋体"/>
                <w:kern w:val="0"/>
                <w:sz w:val="24"/>
                <w:highlight w:val="none"/>
              </w:rPr>
              <w:t>北方BFC6105T2</w:t>
            </w:r>
          </w:p>
        </w:tc>
        <w:tc>
          <w:tcPr>
            <w:tcW w:w="1133" w:type="dxa"/>
            <w:vAlign w:val="center"/>
          </w:tcPr>
          <w:p w14:paraId="62006B31">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4C5AB231">
            <w:pPr>
              <w:widowControl/>
              <w:jc w:val="center"/>
              <w:textAlignment w:val="center"/>
              <w:rPr>
                <w:rFonts w:ascii="宋体" w:hAnsi="宋体" w:cs="宋体"/>
                <w:bCs/>
                <w:sz w:val="24"/>
                <w:highlight w:val="none"/>
              </w:rPr>
            </w:pPr>
            <w:r>
              <w:rPr>
                <w:rFonts w:hint="eastAsia" w:ascii="宋体" w:hAnsi="宋体" w:cs="宋体"/>
                <w:kern w:val="0"/>
                <w:sz w:val="24"/>
                <w:highlight w:val="none"/>
              </w:rPr>
              <w:t>2016年12月</w:t>
            </w:r>
          </w:p>
        </w:tc>
      </w:tr>
      <w:tr w14:paraId="2CA0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D8E7AA7">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82" w:type="dxa"/>
            <w:vAlign w:val="center"/>
          </w:tcPr>
          <w:p w14:paraId="4D232A97">
            <w:pPr>
              <w:widowControl/>
              <w:jc w:val="center"/>
              <w:textAlignment w:val="center"/>
              <w:rPr>
                <w:rFonts w:ascii="宋体" w:hAnsi="宋体" w:cs="宋体"/>
                <w:bCs/>
                <w:sz w:val="24"/>
                <w:highlight w:val="none"/>
              </w:rPr>
            </w:pPr>
            <w:r>
              <w:rPr>
                <w:rFonts w:hint="eastAsia" w:ascii="宋体" w:hAnsi="宋体" w:cs="宋体"/>
                <w:kern w:val="0"/>
                <w:sz w:val="24"/>
                <w:highlight w:val="none"/>
              </w:rPr>
              <w:t>浙J23301</w:t>
            </w:r>
          </w:p>
        </w:tc>
        <w:tc>
          <w:tcPr>
            <w:tcW w:w="1112" w:type="dxa"/>
            <w:vAlign w:val="center"/>
          </w:tcPr>
          <w:p w14:paraId="673C35D1">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1C153B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456A146">
            <w:pPr>
              <w:widowControl/>
              <w:jc w:val="center"/>
              <w:textAlignment w:val="center"/>
              <w:rPr>
                <w:rFonts w:ascii="宋体" w:hAnsi="宋体" w:cs="宋体"/>
                <w:bCs/>
                <w:sz w:val="24"/>
                <w:highlight w:val="none"/>
              </w:rPr>
            </w:pPr>
            <w:r>
              <w:rPr>
                <w:rFonts w:hint="eastAsia" w:ascii="宋体" w:hAnsi="宋体" w:cs="宋体"/>
                <w:kern w:val="0"/>
                <w:sz w:val="24"/>
                <w:highlight w:val="none"/>
              </w:rPr>
              <w:t>北方BFC6128HSA</w:t>
            </w:r>
          </w:p>
        </w:tc>
        <w:tc>
          <w:tcPr>
            <w:tcW w:w="1133" w:type="dxa"/>
            <w:vAlign w:val="center"/>
          </w:tcPr>
          <w:p w14:paraId="534DEBD5">
            <w:pPr>
              <w:widowControl/>
              <w:jc w:val="center"/>
              <w:textAlignment w:val="center"/>
              <w:rPr>
                <w:rFonts w:ascii="宋体" w:hAnsi="宋体" w:cs="宋体"/>
                <w:bCs/>
                <w:sz w:val="24"/>
                <w:highlight w:val="none"/>
              </w:rPr>
            </w:pPr>
            <w:r>
              <w:rPr>
                <w:rFonts w:hint="eastAsia" w:ascii="宋体" w:hAnsi="宋体" w:cs="宋体"/>
                <w:kern w:val="0"/>
                <w:sz w:val="24"/>
                <w:highlight w:val="none"/>
              </w:rPr>
              <w:t>54</w:t>
            </w:r>
          </w:p>
        </w:tc>
        <w:tc>
          <w:tcPr>
            <w:tcW w:w="1133" w:type="dxa"/>
            <w:vAlign w:val="center"/>
          </w:tcPr>
          <w:p w14:paraId="3844EE35">
            <w:pPr>
              <w:widowControl/>
              <w:jc w:val="center"/>
              <w:textAlignment w:val="center"/>
              <w:rPr>
                <w:rFonts w:ascii="宋体" w:hAnsi="宋体" w:cs="宋体"/>
                <w:bCs/>
                <w:sz w:val="24"/>
                <w:highlight w:val="none"/>
              </w:rPr>
            </w:pPr>
            <w:r>
              <w:rPr>
                <w:rFonts w:hint="eastAsia" w:ascii="宋体" w:hAnsi="宋体" w:cs="宋体"/>
                <w:kern w:val="0"/>
                <w:sz w:val="24"/>
                <w:highlight w:val="none"/>
              </w:rPr>
              <w:t>2016年12月</w:t>
            </w:r>
          </w:p>
        </w:tc>
      </w:tr>
      <w:tr w14:paraId="55BD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E00FDD5">
            <w:pPr>
              <w:widowControl/>
              <w:jc w:val="center"/>
              <w:textAlignment w:val="center"/>
              <w:rPr>
                <w:rFonts w:ascii="宋体" w:hAnsi="宋体" w:cs="宋体"/>
                <w:bCs/>
                <w:sz w:val="24"/>
                <w:highlight w:val="none"/>
              </w:rPr>
            </w:pPr>
            <w:r>
              <w:rPr>
                <w:rFonts w:hint="eastAsia" w:ascii="宋体" w:hAnsi="宋体" w:cs="宋体"/>
                <w:kern w:val="0"/>
                <w:sz w:val="24"/>
                <w:highlight w:val="none"/>
              </w:rPr>
              <w:t>31</w:t>
            </w:r>
          </w:p>
        </w:tc>
        <w:tc>
          <w:tcPr>
            <w:tcW w:w="1182" w:type="dxa"/>
            <w:vAlign w:val="center"/>
          </w:tcPr>
          <w:p w14:paraId="58EC6A72">
            <w:pPr>
              <w:widowControl/>
              <w:jc w:val="center"/>
              <w:textAlignment w:val="center"/>
              <w:rPr>
                <w:rFonts w:ascii="宋体" w:hAnsi="宋体" w:cs="宋体"/>
                <w:bCs/>
                <w:sz w:val="24"/>
                <w:highlight w:val="none"/>
              </w:rPr>
            </w:pPr>
            <w:r>
              <w:rPr>
                <w:rFonts w:hint="eastAsia" w:ascii="宋体" w:hAnsi="宋体" w:cs="宋体"/>
                <w:kern w:val="0"/>
                <w:sz w:val="24"/>
                <w:highlight w:val="none"/>
              </w:rPr>
              <w:t>浙J79008</w:t>
            </w:r>
          </w:p>
        </w:tc>
        <w:tc>
          <w:tcPr>
            <w:tcW w:w="1112" w:type="dxa"/>
            <w:vAlign w:val="center"/>
          </w:tcPr>
          <w:p w14:paraId="0309EDB8">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0C74701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FA86C11">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青年JNP6110F-1E</w:t>
            </w:r>
          </w:p>
        </w:tc>
        <w:tc>
          <w:tcPr>
            <w:tcW w:w="1133" w:type="dxa"/>
            <w:vAlign w:val="center"/>
          </w:tcPr>
          <w:p w14:paraId="23E37787">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548864C2">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47AC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29BAA09">
            <w:pPr>
              <w:widowControl/>
              <w:jc w:val="center"/>
              <w:textAlignment w:val="center"/>
              <w:rPr>
                <w:rFonts w:ascii="宋体" w:hAnsi="宋体" w:cs="宋体"/>
                <w:bCs/>
                <w:sz w:val="24"/>
                <w:highlight w:val="none"/>
              </w:rPr>
            </w:pPr>
            <w:r>
              <w:rPr>
                <w:rFonts w:hint="eastAsia" w:ascii="宋体" w:hAnsi="宋体" w:cs="宋体"/>
                <w:kern w:val="0"/>
                <w:sz w:val="24"/>
                <w:highlight w:val="none"/>
              </w:rPr>
              <w:t>32</w:t>
            </w:r>
          </w:p>
        </w:tc>
        <w:tc>
          <w:tcPr>
            <w:tcW w:w="1182" w:type="dxa"/>
            <w:vAlign w:val="center"/>
          </w:tcPr>
          <w:p w14:paraId="1FDF59C0">
            <w:pPr>
              <w:widowControl/>
              <w:jc w:val="center"/>
              <w:textAlignment w:val="center"/>
              <w:rPr>
                <w:rFonts w:ascii="宋体" w:hAnsi="宋体" w:cs="宋体"/>
                <w:bCs/>
                <w:sz w:val="24"/>
                <w:highlight w:val="none"/>
              </w:rPr>
            </w:pPr>
            <w:r>
              <w:rPr>
                <w:rFonts w:hint="eastAsia" w:ascii="宋体" w:hAnsi="宋体" w:cs="宋体"/>
                <w:kern w:val="0"/>
                <w:sz w:val="24"/>
                <w:highlight w:val="none"/>
              </w:rPr>
              <w:t>浙J79022</w:t>
            </w:r>
          </w:p>
        </w:tc>
        <w:tc>
          <w:tcPr>
            <w:tcW w:w="1112" w:type="dxa"/>
            <w:vAlign w:val="center"/>
          </w:tcPr>
          <w:p w14:paraId="687EC40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5E99A6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31D7A32B">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青年JNP6110F-1E</w:t>
            </w:r>
          </w:p>
        </w:tc>
        <w:tc>
          <w:tcPr>
            <w:tcW w:w="1133" w:type="dxa"/>
            <w:vAlign w:val="center"/>
          </w:tcPr>
          <w:p w14:paraId="5C985827">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0FBD0E02">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5D02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4EE021D">
            <w:pPr>
              <w:widowControl/>
              <w:jc w:val="center"/>
              <w:textAlignment w:val="center"/>
              <w:rPr>
                <w:rFonts w:ascii="宋体" w:hAnsi="宋体" w:cs="宋体"/>
                <w:bCs/>
                <w:sz w:val="24"/>
                <w:highlight w:val="none"/>
              </w:rPr>
            </w:pPr>
            <w:r>
              <w:rPr>
                <w:rFonts w:hint="eastAsia" w:ascii="宋体" w:hAnsi="宋体" w:cs="宋体"/>
                <w:kern w:val="0"/>
                <w:sz w:val="24"/>
                <w:highlight w:val="none"/>
              </w:rPr>
              <w:t>33</w:t>
            </w:r>
          </w:p>
        </w:tc>
        <w:tc>
          <w:tcPr>
            <w:tcW w:w="1182" w:type="dxa"/>
            <w:vAlign w:val="center"/>
          </w:tcPr>
          <w:p w14:paraId="11ECADC9">
            <w:pPr>
              <w:widowControl/>
              <w:jc w:val="center"/>
              <w:textAlignment w:val="center"/>
              <w:rPr>
                <w:rFonts w:ascii="宋体" w:hAnsi="宋体" w:cs="宋体"/>
                <w:bCs/>
                <w:sz w:val="24"/>
                <w:highlight w:val="none"/>
              </w:rPr>
            </w:pPr>
            <w:r>
              <w:rPr>
                <w:rFonts w:hint="eastAsia" w:ascii="宋体" w:hAnsi="宋体" w:cs="宋体"/>
                <w:kern w:val="0"/>
                <w:sz w:val="24"/>
                <w:highlight w:val="none"/>
              </w:rPr>
              <w:t>浙J79270</w:t>
            </w:r>
          </w:p>
        </w:tc>
        <w:tc>
          <w:tcPr>
            <w:tcW w:w="1112" w:type="dxa"/>
            <w:vAlign w:val="center"/>
          </w:tcPr>
          <w:p w14:paraId="39762E1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0C3B1C1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5AEDC73">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金龙XMQ6135QYD5C</w:t>
            </w:r>
          </w:p>
        </w:tc>
        <w:tc>
          <w:tcPr>
            <w:tcW w:w="1133" w:type="dxa"/>
            <w:vAlign w:val="center"/>
          </w:tcPr>
          <w:p w14:paraId="3B1CC7C5">
            <w:pPr>
              <w:widowControl/>
              <w:jc w:val="center"/>
              <w:textAlignment w:val="center"/>
              <w:rPr>
                <w:rFonts w:ascii="宋体" w:hAnsi="宋体" w:cs="宋体"/>
                <w:bCs/>
                <w:sz w:val="24"/>
                <w:highlight w:val="none"/>
              </w:rPr>
            </w:pPr>
            <w:r>
              <w:rPr>
                <w:rFonts w:hint="eastAsia" w:ascii="宋体" w:hAnsi="宋体" w:cs="宋体"/>
                <w:kern w:val="0"/>
                <w:sz w:val="24"/>
                <w:highlight w:val="none"/>
              </w:rPr>
              <w:t>55</w:t>
            </w:r>
          </w:p>
        </w:tc>
        <w:tc>
          <w:tcPr>
            <w:tcW w:w="1133" w:type="dxa"/>
            <w:vAlign w:val="center"/>
          </w:tcPr>
          <w:p w14:paraId="18D8A11E">
            <w:pPr>
              <w:widowControl/>
              <w:jc w:val="center"/>
              <w:textAlignment w:val="center"/>
              <w:rPr>
                <w:rFonts w:ascii="宋体" w:hAnsi="宋体" w:cs="宋体"/>
                <w:bCs/>
                <w:sz w:val="24"/>
                <w:highlight w:val="none"/>
              </w:rPr>
            </w:pPr>
            <w:r>
              <w:rPr>
                <w:rFonts w:hint="eastAsia" w:ascii="宋体" w:hAnsi="宋体" w:cs="宋体"/>
                <w:kern w:val="0"/>
                <w:sz w:val="24"/>
                <w:highlight w:val="none"/>
              </w:rPr>
              <w:t>2018年12月</w:t>
            </w:r>
          </w:p>
        </w:tc>
      </w:tr>
      <w:tr w14:paraId="42A4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3869BB6">
            <w:pPr>
              <w:widowControl/>
              <w:jc w:val="center"/>
              <w:textAlignment w:val="center"/>
              <w:rPr>
                <w:rFonts w:ascii="宋体" w:hAnsi="宋体" w:cs="宋体"/>
                <w:bCs/>
                <w:sz w:val="24"/>
                <w:highlight w:val="none"/>
              </w:rPr>
            </w:pPr>
            <w:r>
              <w:rPr>
                <w:rFonts w:hint="eastAsia" w:ascii="宋体" w:hAnsi="宋体" w:cs="宋体"/>
                <w:kern w:val="0"/>
                <w:sz w:val="24"/>
                <w:highlight w:val="none"/>
              </w:rPr>
              <w:t>34</w:t>
            </w:r>
          </w:p>
        </w:tc>
        <w:tc>
          <w:tcPr>
            <w:tcW w:w="1182" w:type="dxa"/>
            <w:vAlign w:val="center"/>
          </w:tcPr>
          <w:p w14:paraId="450D2A80">
            <w:pPr>
              <w:widowControl/>
              <w:jc w:val="center"/>
              <w:textAlignment w:val="center"/>
              <w:rPr>
                <w:rFonts w:ascii="宋体" w:hAnsi="宋体" w:cs="宋体"/>
                <w:bCs/>
                <w:sz w:val="24"/>
                <w:highlight w:val="none"/>
              </w:rPr>
            </w:pPr>
            <w:r>
              <w:rPr>
                <w:rFonts w:hint="eastAsia" w:ascii="宋体" w:hAnsi="宋体" w:cs="宋体"/>
                <w:kern w:val="0"/>
                <w:sz w:val="24"/>
                <w:highlight w:val="none"/>
              </w:rPr>
              <w:t>浙J</w:t>
            </w:r>
            <w:r>
              <w:rPr>
                <w:rStyle w:val="50"/>
                <w:color w:val="auto"/>
                <w:sz w:val="24"/>
                <w:szCs w:val="24"/>
                <w:highlight w:val="none"/>
              </w:rPr>
              <w:t>57902</w:t>
            </w:r>
          </w:p>
        </w:tc>
        <w:tc>
          <w:tcPr>
            <w:tcW w:w="1112" w:type="dxa"/>
            <w:vAlign w:val="center"/>
          </w:tcPr>
          <w:p w14:paraId="763871F4">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9474EA4">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5476AB7">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金龙XMQ6135QYD5C</w:t>
            </w:r>
          </w:p>
        </w:tc>
        <w:tc>
          <w:tcPr>
            <w:tcW w:w="1133" w:type="dxa"/>
            <w:vAlign w:val="center"/>
          </w:tcPr>
          <w:p w14:paraId="6EE3BFAE">
            <w:pPr>
              <w:widowControl/>
              <w:jc w:val="center"/>
              <w:textAlignment w:val="center"/>
              <w:rPr>
                <w:rFonts w:ascii="宋体" w:hAnsi="宋体" w:cs="宋体"/>
                <w:bCs/>
                <w:sz w:val="24"/>
                <w:highlight w:val="none"/>
              </w:rPr>
            </w:pPr>
            <w:r>
              <w:rPr>
                <w:rFonts w:hint="eastAsia" w:ascii="宋体" w:hAnsi="宋体" w:cs="宋体"/>
                <w:kern w:val="0"/>
                <w:sz w:val="24"/>
                <w:highlight w:val="none"/>
              </w:rPr>
              <w:t>55</w:t>
            </w:r>
          </w:p>
        </w:tc>
        <w:tc>
          <w:tcPr>
            <w:tcW w:w="1133" w:type="dxa"/>
            <w:vAlign w:val="center"/>
          </w:tcPr>
          <w:p w14:paraId="5ECC5FCF">
            <w:pPr>
              <w:widowControl/>
              <w:jc w:val="center"/>
              <w:textAlignment w:val="center"/>
              <w:rPr>
                <w:rFonts w:ascii="宋体" w:hAnsi="宋体" w:cs="宋体"/>
                <w:bCs/>
                <w:sz w:val="24"/>
                <w:highlight w:val="none"/>
              </w:rPr>
            </w:pPr>
            <w:r>
              <w:rPr>
                <w:rFonts w:hint="eastAsia" w:ascii="宋体" w:hAnsi="宋体" w:cs="宋体"/>
                <w:kern w:val="0"/>
                <w:sz w:val="24"/>
                <w:highlight w:val="none"/>
              </w:rPr>
              <w:t>2019年8月</w:t>
            </w:r>
          </w:p>
        </w:tc>
      </w:tr>
      <w:tr w14:paraId="277D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44C0D73">
            <w:pPr>
              <w:widowControl/>
              <w:jc w:val="center"/>
              <w:textAlignment w:val="center"/>
              <w:rPr>
                <w:rFonts w:ascii="宋体" w:hAnsi="宋体" w:cs="宋体"/>
                <w:bCs/>
                <w:sz w:val="24"/>
                <w:highlight w:val="none"/>
              </w:rPr>
            </w:pPr>
            <w:r>
              <w:rPr>
                <w:rFonts w:hint="eastAsia" w:ascii="宋体" w:hAnsi="宋体" w:cs="宋体"/>
                <w:kern w:val="0"/>
                <w:sz w:val="24"/>
                <w:highlight w:val="none"/>
              </w:rPr>
              <w:t>35</w:t>
            </w:r>
          </w:p>
        </w:tc>
        <w:tc>
          <w:tcPr>
            <w:tcW w:w="1182" w:type="dxa"/>
            <w:vAlign w:val="center"/>
          </w:tcPr>
          <w:p w14:paraId="2F200BA1">
            <w:pPr>
              <w:widowControl/>
              <w:jc w:val="center"/>
              <w:textAlignment w:val="center"/>
              <w:rPr>
                <w:rFonts w:ascii="宋体" w:hAnsi="宋体" w:cs="宋体"/>
                <w:bCs/>
                <w:sz w:val="24"/>
                <w:highlight w:val="none"/>
              </w:rPr>
            </w:pPr>
            <w:r>
              <w:rPr>
                <w:rFonts w:hint="eastAsia" w:ascii="宋体" w:hAnsi="宋体" w:cs="宋体"/>
                <w:kern w:val="0"/>
                <w:sz w:val="24"/>
                <w:highlight w:val="none"/>
              </w:rPr>
              <w:t>浙J6</w:t>
            </w:r>
            <w:r>
              <w:rPr>
                <w:rStyle w:val="79"/>
                <w:rFonts w:hint="default"/>
                <w:color w:val="auto"/>
                <w:sz w:val="24"/>
                <w:szCs w:val="24"/>
                <w:highlight w:val="none"/>
              </w:rPr>
              <w:t>3561</w:t>
            </w:r>
          </w:p>
        </w:tc>
        <w:tc>
          <w:tcPr>
            <w:tcW w:w="1112" w:type="dxa"/>
            <w:vAlign w:val="center"/>
          </w:tcPr>
          <w:p w14:paraId="4A1A9EB5">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561C53C">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45E46D24">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金龙XMQ6135QYD5C</w:t>
            </w:r>
          </w:p>
        </w:tc>
        <w:tc>
          <w:tcPr>
            <w:tcW w:w="1133" w:type="dxa"/>
            <w:vAlign w:val="center"/>
          </w:tcPr>
          <w:p w14:paraId="63060CDE">
            <w:pPr>
              <w:widowControl/>
              <w:jc w:val="center"/>
              <w:textAlignment w:val="center"/>
              <w:rPr>
                <w:rFonts w:ascii="宋体" w:hAnsi="宋体" w:cs="宋体"/>
                <w:bCs/>
                <w:sz w:val="24"/>
                <w:highlight w:val="none"/>
              </w:rPr>
            </w:pPr>
            <w:r>
              <w:rPr>
                <w:rFonts w:hint="eastAsia" w:ascii="宋体" w:hAnsi="宋体" w:cs="宋体"/>
                <w:kern w:val="0"/>
                <w:sz w:val="24"/>
                <w:highlight w:val="none"/>
              </w:rPr>
              <w:t>55</w:t>
            </w:r>
          </w:p>
        </w:tc>
        <w:tc>
          <w:tcPr>
            <w:tcW w:w="1133" w:type="dxa"/>
            <w:vAlign w:val="center"/>
          </w:tcPr>
          <w:p w14:paraId="27BFF15A">
            <w:pPr>
              <w:widowControl/>
              <w:jc w:val="center"/>
              <w:textAlignment w:val="center"/>
              <w:rPr>
                <w:rFonts w:ascii="宋体" w:hAnsi="宋体" w:cs="宋体"/>
                <w:bCs/>
                <w:sz w:val="24"/>
                <w:highlight w:val="none"/>
              </w:rPr>
            </w:pPr>
            <w:r>
              <w:rPr>
                <w:rFonts w:hint="eastAsia" w:ascii="宋体" w:hAnsi="宋体" w:cs="宋体"/>
                <w:kern w:val="0"/>
                <w:sz w:val="24"/>
                <w:highlight w:val="none"/>
              </w:rPr>
              <w:t>2020年5月</w:t>
            </w:r>
          </w:p>
        </w:tc>
      </w:tr>
      <w:tr w14:paraId="38F5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FD3F054">
            <w:pPr>
              <w:widowControl/>
              <w:jc w:val="center"/>
              <w:textAlignment w:val="center"/>
              <w:rPr>
                <w:rFonts w:ascii="宋体" w:hAnsi="宋体" w:cs="宋体"/>
                <w:bCs/>
                <w:sz w:val="24"/>
                <w:highlight w:val="none"/>
              </w:rPr>
            </w:pPr>
            <w:r>
              <w:rPr>
                <w:rFonts w:hint="eastAsia" w:ascii="宋体" w:hAnsi="宋体" w:cs="宋体"/>
                <w:kern w:val="0"/>
                <w:sz w:val="24"/>
                <w:highlight w:val="none"/>
              </w:rPr>
              <w:t>36</w:t>
            </w:r>
          </w:p>
        </w:tc>
        <w:tc>
          <w:tcPr>
            <w:tcW w:w="1182" w:type="dxa"/>
            <w:vAlign w:val="center"/>
          </w:tcPr>
          <w:p w14:paraId="4849CD21">
            <w:pPr>
              <w:widowControl/>
              <w:jc w:val="center"/>
              <w:textAlignment w:val="center"/>
              <w:rPr>
                <w:rFonts w:ascii="宋体" w:hAnsi="宋体" w:cs="宋体"/>
                <w:bCs/>
                <w:sz w:val="24"/>
                <w:highlight w:val="none"/>
              </w:rPr>
            </w:pPr>
            <w:r>
              <w:rPr>
                <w:rFonts w:hint="eastAsia" w:ascii="宋体" w:hAnsi="宋体" w:cs="宋体"/>
                <w:kern w:val="0"/>
                <w:sz w:val="24"/>
                <w:highlight w:val="none"/>
              </w:rPr>
              <w:t>浙J03721</w:t>
            </w:r>
          </w:p>
        </w:tc>
        <w:tc>
          <w:tcPr>
            <w:tcW w:w="1112" w:type="dxa"/>
            <w:vAlign w:val="center"/>
          </w:tcPr>
          <w:p w14:paraId="6B2EA748">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69118FF3">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EAAFE76">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宇通ZK6122HQ5Y</w:t>
            </w:r>
          </w:p>
        </w:tc>
        <w:tc>
          <w:tcPr>
            <w:tcW w:w="1133" w:type="dxa"/>
            <w:vAlign w:val="center"/>
          </w:tcPr>
          <w:p w14:paraId="508B8D1A">
            <w:pPr>
              <w:widowControl/>
              <w:jc w:val="center"/>
              <w:textAlignment w:val="center"/>
              <w:rPr>
                <w:rFonts w:ascii="宋体" w:hAnsi="宋体" w:cs="宋体"/>
                <w:bCs/>
                <w:sz w:val="24"/>
                <w:highlight w:val="none"/>
              </w:rPr>
            </w:pPr>
            <w:r>
              <w:rPr>
                <w:rFonts w:hint="eastAsia" w:ascii="宋体" w:hAnsi="宋体" w:cs="宋体"/>
                <w:kern w:val="0"/>
                <w:sz w:val="24"/>
                <w:highlight w:val="none"/>
              </w:rPr>
              <w:t>50</w:t>
            </w:r>
          </w:p>
        </w:tc>
        <w:tc>
          <w:tcPr>
            <w:tcW w:w="1133" w:type="dxa"/>
            <w:vAlign w:val="center"/>
          </w:tcPr>
          <w:p w14:paraId="4FA9454C">
            <w:pPr>
              <w:widowControl/>
              <w:jc w:val="center"/>
              <w:textAlignment w:val="center"/>
              <w:rPr>
                <w:rFonts w:ascii="宋体" w:hAnsi="宋体" w:cs="宋体"/>
                <w:bCs/>
                <w:sz w:val="24"/>
                <w:highlight w:val="none"/>
              </w:rPr>
            </w:pPr>
            <w:r>
              <w:rPr>
                <w:rFonts w:hint="eastAsia" w:ascii="宋体" w:hAnsi="宋体" w:cs="宋体"/>
                <w:kern w:val="0"/>
                <w:sz w:val="24"/>
                <w:highlight w:val="none"/>
              </w:rPr>
              <w:t>2020年12月</w:t>
            </w:r>
          </w:p>
        </w:tc>
      </w:tr>
      <w:tr w14:paraId="6957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056C2BFA">
            <w:pPr>
              <w:widowControl/>
              <w:jc w:val="center"/>
              <w:textAlignment w:val="center"/>
              <w:rPr>
                <w:rFonts w:ascii="宋体" w:hAnsi="宋体" w:cs="宋体"/>
                <w:bCs/>
                <w:sz w:val="24"/>
                <w:highlight w:val="none"/>
              </w:rPr>
            </w:pPr>
            <w:r>
              <w:rPr>
                <w:rFonts w:hint="eastAsia" w:ascii="宋体" w:hAnsi="宋体" w:cs="宋体"/>
                <w:kern w:val="0"/>
                <w:sz w:val="24"/>
                <w:highlight w:val="none"/>
              </w:rPr>
              <w:t>37</w:t>
            </w:r>
          </w:p>
        </w:tc>
        <w:tc>
          <w:tcPr>
            <w:tcW w:w="1182" w:type="dxa"/>
            <w:vAlign w:val="center"/>
          </w:tcPr>
          <w:p w14:paraId="08582AF2">
            <w:pPr>
              <w:widowControl/>
              <w:jc w:val="center"/>
              <w:textAlignment w:val="center"/>
              <w:rPr>
                <w:rFonts w:ascii="宋体" w:hAnsi="宋体" w:cs="宋体"/>
                <w:bCs/>
                <w:sz w:val="24"/>
                <w:highlight w:val="none"/>
              </w:rPr>
            </w:pPr>
            <w:r>
              <w:rPr>
                <w:rFonts w:hint="eastAsia" w:ascii="宋体" w:hAnsi="宋体" w:cs="宋体"/>
                <w:kern w:val="0"/>
                <w:sz w:val="24"/>
                <w:highlight w:val="none"/>
              </w:rPr>
              <w:t>浙J19668</w:t>
            </w:r>
          </w:p>
        </w:tc>
        <w:tc>
          <w:tcPr>
            <w:tcW w:w="1112" w:type="dxa"/>
            <w:vAlign w:val="center"/>
          </w:tcPr>
          <w:p w14:paraId="5ED9C580">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19BDDFB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49EFCBF1">
            <w:pPr>
              <w:widowControl/>
              <w:jc w:val="center"/>
              <w:textAlignment w:val="center"/>
              <w:rPr>
                <w:rFonts w:ascii="宋体" w:hAnsi="宋体" w:cs="宋体"/>
                <w:bCs/>
                <w:sz w:val="24"/>
                <w:highlight w:val="none"/>
              </w:rPr>
            </w:pPr>
            <w:r>
              <w:rPr>
                <w:rFonts w:hint="eastAsia" w:ascii="宋体" w:hAnsi="宋体" w:cs="宋体"/>
                <w:kern w:val="0"/>
                <w:sz w:val="24"/>
                <w:highlight w:val="none"/>
              </w:rPr>
              <w:t>安凯HFF6909KDLE58</w:t>
            </w:r>
          </w:p>
        </w:tc>
        <w:tc>
          <w:tcPr>
            <w:tcW w:w="1133" w:type="dxa"/>
            <w:vAlign w:val="center"/>
          </w:tcPr>
          <w:p w14:paraId="75FB5A0F">
            <w:pPr>
              <w:widowControl/>
              <w:jc w:val="center"/>
              <w:textAlignment w:val="center"/>
              <w:rPr>
                <w:rFonts w:ascii="宋体" w:hAnsi="宋体" w:cs="宋体"/>
                <w:bCs/>
                <w:sz w:val="24"/>
                <w:highlight w:val="none"/>
              </w:rPr>
            </w:pPr>
            <w:r>
              <w:rPr>
                <w:rFonts w:hint="eastAsia" w:ascii="宋体" w:hAnsi="宋体" w:cs="宋体"/>
                <w:kern w:val="0"/>
                <w:sz w:val="24"/>
                <w:highlight w:val="none"/>
              </w:rPr>
              <w:t>24</w:t>
            </w:r>
          </w:p>
        </w:tc>
        <w:tc>
          <w:tcPr>
            <w:tcW w:w="1133" w:type="dxa"/>
            <w:vAlign w:val="center"/>
          </w:tcPr>
          <w:p w14:paraId="511AE43F">
            <w:pPr>
              <w:widowControl/>
              <w:jc w:val="center"/>
              <w:textAlignment w:val="center"/>
              <w:rPr>
                <w:rFonts w:ascii="宋体" w:hAnsi="宋体" w:cs="宋体"/>
                <w:bCs/>
                <w:sz w:val="24"/>
                <w:highlight w:val="none"/>
              </w:rPr>
            </w:pPr>
            <w:r>
              <w:rPr>
                <w:rFonts w:hint="eastAsia" w:ascii="宋体" w:hAnsi="宋体" w:cs="宋体"/>
                <w:kern w:val="0"/>
                <w:sz w:val="24"/>
                <w:highlight w:val="none"/>
              </w:rPr>
              <w:t>2021年1月</w:t>
            </w:r>
          </w:p>
        </w:tc>
      </w:tr>
      <w:tr w14:paraId="4412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C623367">
            <w:pPr>
              <w:widowControl/>
              <w:jc w:val="center"/>
              <w:textAlignment w:val="center"/>
              <w:rPr>
                <w:rFonts w:ascii="宋体" w:hAnsi="宋体" w:cs="宋体"/>
                <w:bCs/>
                <w:sz w:val="24"/>
                <w:highlight w:val="none"/>
              </w:rPr>
            </w:pPr>
            <w:r>
              <w:rPr>
                <w:rFonts w:hint="eastAsia" w:ascii="宋体" w:hAnsi="宋体" w:cs="宋体"/>
                <w:kern w:val="0"/>
                <w:sz w:val="24"/>
                <w:highlight w:val="none"/>
              </w:rPr>
              <w:t>38</w:t>
            </w:r>
          </w:p>
        </w:tc>
        <w:tc>
          <w:tcPr>
            <w:tcW w:w="1182" w:type="dxa"/>
            <w:vAlign w:val="center"/>
          </w:tcPr>
          <w:p w14:paraId="51162130">
            <w:pPr>
              <w:widowControl/>
              <w:jc w:val="center"/>
              <w:textAlignment w:val="center"/>
              <w:rPr>
                <w:rFonts w:ascii="宋体" w:hAnsi="宋体" w:cs="宋体"/>
                <w:bCs/>
                <w:sz w:val="24"/>
                <w:highlight w:val="none"/>
              </w:rPr>
            </w:pPr>
            <w:r>
              <w:rPr>
                <w:rFonts w:hint="eastAsia" w:ascii="宋体" w:hAnsi="宋体" w:cs="宋体"/>
                <w:kern w:val="0"/>
                <w:sz w:val="24"/>
                <w:highlight w:val="none"/>
              </w:rPr>
              <w:t>浙JG8062</w:t>
            </w:r>
          </w:p>
        </w:tc>
        <w:tc>
          <w:tcPr>
            <w:tcW w:w="1112" w:type="dxa"/>
            <w:vAlign w:val="center"/>
          </w:tcPr>
          <w:p w14:paraId="517851B6">
            <w:pPr>
              <w:widowControl/>
              <w:jc w:val="center"/>
              <w:textAlignment w:val="center"/>
              <w:rPr>
                <w:rFonts w:ascii="宋体" w:hAnsi="宋体" w:cs="宋体"/>
                <w:bCs/>
                <w:sz w:val="24"/>
                <w:highlight w:val="none"/>
              </w:rPr>
            </w:pPr>
            <w:r>
              <w:rPr>
                <w:rFonts w:hint="eastAsia" w:ascii="宋体" w:hAnsi="宋体" w:cs="宋体"/>
                <w:kern w:val="0"/>
                <w:sz w:val="24"/>
                <w:highlight w:val="none"/>
              </w:rPr>
              <w:t>90</w:t>
            </w:r>
          </w:p>
        </w:tc>
        <w:tc>
          <w:tcPr>
            <w:tcW w:w="1093" w:type="dxa"/>
            <w:vAlign w:val="center"/>
          </w:tcPr>
          <w:p w14:paraId="203E452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DA811BF">
            <w:pPr>
              <w:widowControl/>
              <w:jc w:val="center"/>
              <w:textAlignment w:val="center"/>
              <w:rPr>
                <w:rFonts w:ascii="宋体" w:hAnsi="宋体" w:cs="宋体"/>
                <w:bCs/>
                <w:sz w:val="24"/>
                <w:highlight w:val="none"/>
              </w:rPr>
            </w:pPr>
            <w:r>
              <w:rPr>
                <w:rFonts w:hint="eastAsia" w:ascii="宋体" w:hAnsi="宋体" w:cs="宋体"/>
                <w:kern w:val="0"/>
                <w:sz w:val="24"/>
                <w:highlight w:val="none"/>
              </w:rPr>
              <w:t>亚星YBL6591QYP</w:t>
            </w:r>
          </w:p>
        </w:tc>
        <w:tc>
          <w:tcPr>
            <w:tcW w:w="1133" w:type="dxa"/>
            <w:vAlign w:val="center"/>
          </w:tcPr>
          <w:p w14:paraId="77B5C66B">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33" w:type="dxa"/>
            <w:vAlign w:val="center"/>
          </w:tcPr>
          <w:p w14:paraId="4F1D9991">
            <w:pPr>
              <w:widowControl/>
              <w:jc w:val="center"/>
              <w:textAlignment w:val="center"/>
              <w:rPr>
                <w:rFonts w:ascii="宋体" w:hAnsi="宋体" w:cs="宋体"/>
                <w:bCs/>
                <w:sz w:val="24"/>
                <w:highlight w:val="none"/>
              </w:rPr>
            </w:pPr>
            <w:r>
              <w:rPr>
                <w:rFonts w:hint="eastAsia" w:ascii="宋体" w:hAnsi="宋体" w:cs="宋体"/>
                <w:kern w:val="0"/>
                <w:sz w:val="24"/>
                <w:highlight w:val="none"/>
              </w:rPr>
              <w:t>2017年7月</w:t>
            </w:r>
          </w:p>
        </w:tc>
      </w:tr>
      <w:tr w14:paraId="1A39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A89BD35">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82" w:type="dxa"/>
            <w:vAlign w:val="center"/>
          </w:tcPr>
          <w:p w14:paraId="1C92C1A1">
            <w:pPr>
              <w:widowControl/>
              <w:jc w:val="center"/>
              <w:textAlignment w:val="center"/>
              <w:rPr>
                <w:rFonts w:ascii="宋体" w:hAnsi="宋体" w:cs="宋体"/>
                <w:bCs/>
                <w:sz w:val="24"/>
                <w:highlight w:val="none"/>
              </w:rPr>
            </w:pPr>
            <w:r>
              <w:rPr>
                <w:rFonts w:hint="eastAsia" w:ascii="宋体" w:hAnsi="宋体" w:cs="宋体"/>
                <w:kern w:val="0"/>
                <w:sz w:val="24"/>
                <w:highlight w:val="none"/>
              </w:rPr>
              <w:t>浙JH1383</w:t>
            </w:r>
          </w:p>
        </w:tc>
        <w:tc>
          <w:tcPr>
            <w:tcW w:w="1112" w:type="dxa"/>
            <w:vAlign w:val="center"/>
          </w:tcPr>
          <w:p w14:paraId="5A2C7DD7">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193A4C82">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42518CC6">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宇通ZK6808HDA</w:t>
            </w:r>
          </w:p>
        </w:tc>
        <w:tc>
          <w:tcPr>
            <w:tcW w:w="1133" w:type="dxa"/>
            <w:vAlign w:val="center"/>
          </w:tcPr>
          <w:p w14:paraId="6C8EB788">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2BC310FE">
            <w:pPr>
              <w:widowControl/>
              <w:jc w:val="center"/>
              <w:textAlignment w:val="center"/>
              <w:rPr>
                <w:rFonts w:ascii="宋体" w:hAnsi="宋体" w:cs="宋体"/>
                <w:bCs/>
                <w:sz w:val="24"/>
                <w:highlight w:val="none"/>
              </w:rPr>
            </w:pPr>
            <w:r>
              <w:rPr>
                <w:rFonts w:hint="eastAsia" w:ascii="宋体" w:hAnsi="宋体" w:cs="宋体"/>
                <w:kern w:val="0"/>
                <w:sz w:val="24"/>
                <w:highlight w:val="none"/>
              </w:rPr>
              <w:t>2014年6月</w:t>
            </w:r>
          </w:p>
        </w:tc>
      </w:tr>
      <w:tr w14:paraId="6D9A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E3A1BB0">
            <w:pPr>
              <w:widowControl/>
              <w:jc w:val="center"/>
              <w:textAlignment w:val="center"/>
              <w:rPr>
                <w:rFonts w:ascii="宋体" w:hAnsi="宋体" w:cs="宋体"/>
                <w:bCs/>
                <w:sz w:val="24"/>
                <w:highlight w:val="none"/>
              </w:rPr>
            </w:pPr>
            <w:r>
              <w:rPr>
                <w:rFonts w:hint="eastAsia" w:ascii="宋体" w:hAnsi="宋体" w:cs="宋体"/>
                <w:kern w:val="0"/>
                <w:sz w:val="24"/>
                <w:highlight w:val="none"/>
              </w:rPr>
              <w:t>40</w:t>
            </w:r>
          </w:p>
        </w:tc>
        <w:tc>
          <w:tcPr>
            <w:tcW w:w="1182" w:type="dxa"/>
            <w:vAlign w:val="center"/>
          </w:tcPr>
          <w:p w14:paraId="638970DF">
            <w:pPr>
              <w:widowControl/>
              <w:jc w:val="center"/>
              <w:textAlignment w:val="center"/>
              <w:rPr>
                <w:rFonts w:ascii="宋体" w:hAnsi="宋体" w:cs="宋体"/>
                <w:bCs/>
                <w:sz w:val="24"/>
                <w:highlight w:val="none"/>
              </w:rPr>
            </w:pPr>
            <w:r>
              <w:rPr>
                <w:rFonts w:hint="eastAsia" w:ascii="宋体" w:hAnsi="宋体" w:cs="宋体"/>
                <w:kern w:val="0"/>
                <w:sz w:val="24"/>
                <w:highlight w:val="none"/>
              </w:rPr>
              <w:t>浙JH7901</w:t>
            </w:r>
          </w:p>
        </w:tc>
        <w:tc>
          <w:tcPr>
            <w:tcW w:w="1112" w:type="dxa"/>
            <w:vAlign w:val="center"/>
          </w:tcPr>
          <w:p w14:paraId="235BF782">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2A538FF">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09DA7079">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宇通ZK6122HQ5Y</w:t>
            </w:r>
          </w:p>
        </w:tc>
        <w:tc>
          <w:tcPr>
            <w:tcW w:w="1133" w:type="dxa"/>
            <w:vAlign w:val="center"/>
          </w:tcPr>
          <w:p w14:paraId="415E7E60">
            <w:pPr>
              <w:widowControl/>
              <w:jc w:val="center"/>
              <w:textAlignment w:val="center"/>
              <w:rPr>
                <w:rFonts w:ascii="宋体" w:hAnsi="宋体" w:cs="宋体"/>
                <w:bCs/>
                <w:sz w:val="24"/>
                <w:highlight w:val="none"/>
              </w:rPr>
            </w:pPr>
            <w:r>
              <w:rPr>
                <w:rFonts w:hint="eastAsia" w:ascii="宋体" w:hAnsi="宋体" w:cs="宋体"/>
                <w:kern w:val="0"/>
                <w:sz w:val="24"/>
                <w:highlight w:val="none"/>
              </w:rPr>
              <w:t>50</w:t>
            </w:r>
          </w:p>
        </w:tc>
        <w:tc>
          <w:tcPr>
            <w:tcW w:w="1133" w:type="dxa"/>
            <w:vAlign w:val="center"/>
          </w:tcPr>
          <w:p w14:paraId="45AF4296">
            <w:pPr>
              <w:widowControl/>
              <w:jc w:val="center"/>
              <w:textAlignment w:val="center"/>
              <w:rPr>
                <w:rFonts w:ascii="宋体" w:hAnsi="宋体" w:cs="宋体"/>
                <w:bCs/>
                <w:sz w:val="24"/>
                <w:highlight w:val="none"/>
              </w:rPr>
            </w:pPr>
            <w:r>
              <w:rPr>
                <w:rFonts w:hint="eastAsia" w:ascii="宋体" w:hAnsi="宋体" w:cs="宋体"/>
                <w:kern w:val="0"/>
                <w:sz w:val="24"/>
                <w:highlight w:val="none"/>
              </w:rPr>
              <w:t>2017年6月</w:t>
            </w:r>
          </w:p>
        </w:tc>
      </w:tr>
      <w:tr w14:paraId="52B9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388760C">
            <w:pPr>
              <w:widowControl/>
              <w:jc w:val="center"/>
              <w:textAlignment w:val="center"/>
              <w:rPr>
                <w:rFonts w:ascii="宋体" w:hAnsi="宋体" w:cs="宋体"/>
                <w:bCs/>
                <w:sz w:val="24"/>
                <w:highlight w:val="none"/>
              </w:rPr>
            </w:pPr>
            <w:r>
              <w:rPr>
                <w:rFonts w:hint="eastAsia" w:ascii="宋体" w:hAnsi="宋体" w:cs="宋体"/>
                <w:kern w:val="0"/>
                <w:sz w:val="24"/>
                <w:highlight w:val="none"/>
              </w:rPr>
              <w:t>41</w:t>
            </w:r>
          </w:p>
        </w:tc>
        <w:tc>
          <w:tcPr>
            <w:tcW w:w="1182" w:type="dxa"/>
            <w:vAlign w:val="center"/>
          </w:tcPr>
          <w:p w14:paraId="0173DE3A">
            <w:pPr>
              <w:widowControl/>
              <w:jc w:val="center"/>
              <w:textAlignment w:val="center"/>
              <w:rPr>
                <w:rFonts w:ascii="宋体" w:hAnsi="宋体" w:cs="宋体"/>
                <w:bCs/>
                <w:sz w:val="24"/>
                <w:highlight w:val="none"/>
              </w:rPr>
            </w:pPr>
            <w:r>
              <w:rPr>
                <w:rFonts w:hint="eastAsia" w:ascii="宋体" w:hAnsi="宋体" w:cs="宋体"/>
                <w:kern w:val="0"/>
                <w:sz w:val="24"/>
                <w:highlight w:val="none"/>
              </w:rPr>
              <w:t>浙JH9777</w:t>
            </w:r>
          </w:p>
        </w:tc>
        <w:tc>
          <w:tcPr>
            <w:tcW w:w="1112" w:type="dxa"/>
            <w:vAlign w:val="center"/>
          </w:tcPr>
          <w:p w14:paraId="7EF83AD2">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430734F">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454776C6">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宇通ZK6122HQ5Y</w:t>
            </w:r>
          </w:p>
        </w:tc>
        <w:tc>
          <w:tcPr>
            <w:tcW w:w="1133" w:type="dxa"/>
            <w:vAlign w:val="center"/>
          </w:tcPr>
          <w:p w14:paraId="1B3ADEF3">
            <w:pPr>
              <w:widowControl/>
              <w:jc w:val="center"/>
              <w:textAlignment w:val="center"/>
              <w:rPr>
                <w:rFonts w:ascii="宋体" w:hAnsi="宋体" w:cs="宋体"/>
                <w:bCs/>
                <w:sz w:val="24"/>
                <w:highlight w:val="none"/>
              </w:rPr>
            </w:pPr>
            <w:r>
              <w:rPr>
                <w:rFonts w:hint="eastAsia" w:ascii="宋体" w:hAnsi="宋体" w:cs="宋体"/>
                <w:kern w:val="0"/>
                <w:sz w:val="24"/>
                <w:highlight w:val="none"/>
              </w:rPr>
              <w:t>50</w:t>
            </w:r>
          </w:p>
        </w:tc>
        <w:tc>
          <w:tcPr>
            <w:tcW w:w="1133" w:type="dxa"/>
            <w:vAlign w:val="center"/>
          </w:tcPr>
          <w:p w14:paraId="3769BBF5">
            <w:pPr>
              <w:widowControl/>
              <w:jc w:val="center"/>
              <w:textAlignment w:val="center"/>
              <w:rPr>
                <w:rFonts w:ascii="宋体" w:hAnsi="宋体" w:cs="宋体"/>
                <w:bCs/>
                <w:sz w:val="24"/>
                <w:highlight w:val="none"/>
              </w:rPr>
            </w:pPr>
            <w:r>
              <w:rPr>
                <w:rFonts w:hint="eastAsia" w:ascii="宋体" w:hAnsi="宋体" w:cs="宋体"/>
                <w:kern w:val="0"/>
                <w:sz w:val="24"/>
                <w:highlight w:val="none"/>
              </w:rPr>
              <w:t>2017年6月</w:t>
            </w:r>
          </w:p>
        </w:tc>
      </w:tr>
      <w:tr w14:paraId="3D10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66AA889">
            <w:pPr>
              <w:widowControl/>
              <w:jc w:val="center"/>
              <w:textAlignment w:val="center"/>
              <w:rPr>
                <w:rFonts w:ascii="宋体" w:hAnsi="宋体" w:cs="宋体"/>
                <w:bCs/>
                <w:sz w:val="24"/>
                <w:highlight w:val="none"/>
              </w:rPr>
            </w:pPr>
            <w:r>
              <w:rPr>
                <w:rFonts w:hint="eastAsia" w:ascii="宋体" w:hAnsi="宋体" w:cs="宋体"/>
                <w:kern w:val="0"/>
                <w:sz w:val="24"/>
                <w:highlight w:val="none"/>
              </w:rPr>
              <w:t>42</w:t>
            </w:r>
          </w:p>
        </w:tc>
        <w:tc>
          <w:tcPr>
            <w:tcW w:w="1182" w:type="dxa"/>
            <w:vAlign w:val="center"/>
          </w:tcPr>
          <w:p w14:paraId="76C49C1D">
            <w:pPr>
              <w:widowControl/>
              <w:jc w:val="center"/>
              <w:textAlignment w:val="center"/>
              <w:rPr>
                <w:rFonts w:ascii="宋体" w:hAnsi="宋体" w:cs="宋体"/>
                <w:bCs/>
                <w:sz w:val="24"/>
                <w:highlight w:val="none"/>
              </w:rPr>
            </w:pPr>
            <w:r>
              <w:rPr>
                <w:rFonts w:hint="eastAsia" w:ascii="宋体" w:hAnsi="宋体" w:cs="宋体"/>
                <w:kern w:val="0"/>
                <w:sz w:val="24"/>
                <w:highlight w:val="none"/>
              </w:rPr>
              <w:t>浙JH1863</w:t>
            </w:r>
          </w:p>
        </w:tc>
        <w:tc>
          <w:tcPr>
            <w:tcW w:w="1112" w:type="dxa"/>
            <w:vAlign w:val="center"/>
          </w:tcPr>
          <w:p w14:paraId="6CBA04CB">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0373099C">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95F0225">
            <w:pPr>
              <w:widowControl/>
              <w:jc w:val="center"/>
              <w:textAlignment w:val="center"/>
              <w:rPr>
                <w:rFonts w:ascii="宋体" w:hAnsi="宋体" w:cs="宋体"/>
                <w:bCs/>
                <w:sz w:val="24"/>
                <w:highlight w:val="none"/>
              </w:rPr>
            </w:pPr>
            <w:r>
              <w:rPr>
                <w:rFonts w:hint="eastAsia" w:ascii="宋体" w:hAnsi="宋体" w:cs="宋体"/>
                <w:kern w:val="0"/>
                <w:sz w:val="24"/>
                <w:highlight w:val="none"/>
              </w:rPr>
              <w:t>金旅XML6700J15</w:t>
            </w:r>
          </w:p>
        </w:tc>
        <w:tc>
          <w:tcPr>
            <w:tcW w:w="1133" w:type="dxa"/>
            <w:vAlign w:val="center"/>
          </w:tcPr>
          <w:p w14:paraId="52FEEE4A">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3C590FBB">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427E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00076F40">
            <w:pPr>
              <w:widowControl/>
              <w:jc w:val="center"/>
              <w:textAlignment w:val="center"/>
              <w:rPr>
                <w:rFonts w:ascii="宋体" w:hAnsi="宋体" w:cs="宋体"/>
                <w:bCs/>
                <w:sz w:val="24"/>
                <w:highlight w:val="none"/>
              </w:rPr>
            </w:pPr>
            <w:r>
              <w:rPr>
                <w:rFonts w:hint="eastAsia" w:ascii="宋体" w:hAnsi="宋体" w:cs="宋体"/>
                <w:kern w:val="0"/>
                <w:sz w:val="24"/>
                <w:highlight w:val="none"/>
              </w:rPr>
              <w:t>43</w:t>
            </w:r>
          </w:p>
        </w:tc>
        <w:tc>
          <w:tcPr>
            <w:tcW w:w="1182" w:type="dxa"/>
            <w:vAlign w:val="center"/>
          </w:tcPr>
          <w:p w14:paraId="0332B26A">
            <w:pPr>
              <w:widowControl/>
              <w:jc w:val="center"/>
              <w:textAlignment w:val="center"/>
              <w:rPr>
                <w:rFonts w:ascii="宋体" w:hAnsi="宋体" w:cs="宋体"/>
                <w:bCs/>
                <w:sz w:val="24"/>
                <w:highlight w:val="none"/>
              </w:rPr>
            </w:pPr>
            <w:r>
              <w:rPr>
                <w:rFonts w:hint="eastAsia" w:ascii="宋体" w:hAnsi="宋体" w:cs="宋体"/>
                <w:kern w:val="0"/>
                <w:sz w:val="24"/>
                <w:highlight w:val="none"/>
              </w:rPr>
              <w:t>浙JH0176</w:t>
            </w:r>
          </w:p>
        </w:tc>
        <w:tc>
          <w:tcPr>
            <w:tcW w:w="1112" w:type="dxa"/>
            <w:vAlign w:val="center"/>
          </w:tcPr>
          <w:p w14:paraId="2C2E4BE1">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1B3A4B8B">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5DBBCC0">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宇通ZK6858HDA</w:t>
            </w:r>
          </w:p>
        </w:tc>
        <w:tc>
          <w:tcPr>
            <w:tcW w:w="1133" w:type="dxa"/>
            <w:vAlign w:val="center"/>
          </w:tcPr>
          <w:p w14:paraId="5F9F1DC3">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72A598D3">
            <w:pPr>
              <w:widowControl/>
              <w:jc w:val="center"/>
              <w:textAlignment w:val="center"/>
              <w:rPr>
                <w:rFonts w:ascii="宋体" w:hAnsi="宋体" w:cs="宋体"/>
                <w:bCs/>
                <w:sz w:val="24"/>
                <w:highlight w:val="none"/>
              </w:rPr>
            </w:pPr>
            <w:r>
              <w:rPr>
                <w:rFonts w:hint="eastAsia" w:ascii="宋体" w:hAnsi="宋体" w:cs="宋体"/>
                <w:kern w:val="0"/>
                <w:sz w:val="24"/>
                <w:highlight w:val="none"/>
              </w:rPr>
              <w:t>2016年12月</w:t>
            </w:r>
          </w:p>
        </w:tc>
      </w:tr>
      <w:tr w14:paraId="0D9D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EA85C8F">
            <w:pPr>
              <w:widowControl/>
              <w:jc w:val="center"/>
              <w:textAlignment w:val="center"/>
              <w:rPr>
                <w:rFonts w:ascii="宋体" w:hAnsi="宋体" w:cs="宋体"/>
                <w:bCs/>
                <w:sz w:val="24"/>
                <w:highlight w:val="none"/>
              </w:rPr>
            </w:pPr>
            <w:r>
              <w:rPr>
                <w:rFonts w:hint="eastAsia" w:ascii="宋体" w:hAnsi="宋体" w:cs="宋体"/>
                <w:kern w:val="0"/>
                <w:sz w:val="24"/>
                <w:highlight w:val="none"/>
              </w:rPr>
              <w:t>44</w:t>
            </w:r>
          </w:p>
        </w:tc>
        <w:tc>
          <w:tcPr>
            <w:tcW w:w="1182" w:type="dxa"/>
            <w:vAlign w:val="center"/>
          </w:tcPr>
          <w:p w14:paraId="78584E93">
            <w:pPr>
              <w:widowControl/>
              <w:jc w:val="center"/>
              <w:textAlignment w:val="center"/>
              <w:rPr>
                <w:rFonts w:ascii="宋体" w:hAnsi="宋体" w:cs="宋体"/>
                <w:bCs/>
                <w:sz w:val="24"/>
                <w:highlight w:val="none"/>
              </w:rPr>
            </w:pPr>
            <w:r>
              <w:rPr>
                <w:rFonts w:hint="eastAsia" w:ascii="宋体" w:hAnsi="宋体" w:cs="宋体"/>
                <w:kern w:val="0"/>
                <w:sz w:val="24"/>
                <w:highlight w:val="none"/>
              </w:rPr>
              <w:t>浙JH1967</w:t>
            </w:r>
          </w:p>
        </w:tc>
        <w:tc>
          <w:tcPr>
            <w:tcW w:w="1112" w:type="dxa"/>
            <w:vAlign w:val="center"/>
          </w:tcPr>
          <w:p w14:paraId="3F7FBE08">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0FFF0D74">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67BE6416">
            <w:pPr>
              <w:widowControl/>
              <w:jc w:val="center"/>
              <w:textAlignment w:val="center"/>
              <w:rPr>
                <w:rFonts w:ascii="宋体" w:hAnsi="宋体" w:cs="宋体"/>
                <w:bCs/>
                <w:sz w:val="24"/>
                <w:highlight w:val="none"/>
              </w:rPr>
            </w:pPr>
            <w:r>
              <w:rPr>
                <w:rFonts w:hint="eastAsia" w:ascii="宋体" w:hAnsi="宋体" w:cs="宋体"/>
                <w:kern w:val="0"/>
                <w:sz w:val="24"/>
                <w:highlight w:val="none"/>
              </w:rPr>
              <w:t>晶马JMV6772CF</w:t>
            </w:r>
          </w:p>
        </w:tc>
        <w:tc>
          <w:tcPr>
            <w:tcW w:w="1133" w:type="dxa"/>
            <w:vAlign w:val="center"/>
          </w:tcPr>
          <w:p w14:paraId="5B57E4CF">
            <w:pPr>
              <w:widowControl/>
              <w:jc w:val="center"/>
              <w:textAlignment w:val="center"/>
              <w:rPr>
                <w:rFonts w:ascii="宋体" w:hAnsi="宋体" w:cs="宋体"/>
                <w:bCs/>
                <w:sz w:val="24"/>
                <w:highlight w:val="none"/>
              </w:rPr>
            </w:pPr>
            <w:r>
              <w:rPr>
                <w:rFonts w:hint="eastAsia" w:ascii="宋体" w:hAnsi="宋体" w:cs="宋体"/>
                <w:kern w:val="0"/>
                <w:sz w:val="24"/>
                <w:highlight w:val="none"/>
              </w:rPr>
              <w:t>27</w:t>
            </w:r>
          </w:p>
        </w:tc>
        <w:tc>
          <w:tcPr>
            <w:tcW w:w="1133" w:type="dxa"/>
            <w:vAlign w:val="center"/>
          </w:tcPr>
          <w:p w14:paraId="036DD7DA">
            <w:pPr>
              <w:widowControl/>
              <w:jc w:val="center"/>
              <w:textAlignment w:val="center"/>
              <w:rPr>
                <w:rFonts w:ascii="宋体" w:hAnsi="宋体" w:cs="宋体"/>
                <w:bCs/>
                <w:sz w:val="24"/>
                <w:highlight w:val="none"/>
              </w:rPr>
            </w:pPr>
            <w:r>
              <w:rPr>
                <w:rFonts w:hint="eastAsia" w:ascii="宋体" w:hAnsi="宋体" w:cs="宋体"/>
                <w:kern w:val="0"/>
                <w:sz w:val="24"/>
                <w:highlight w:val="none"/>
              </w:rPr>
              <w:t>2016年7月</w:t>
            </w:r>
          </w:p>
        </w:tc>
      </w:tr>
      <w:tr w14:paraId="5BE5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0332739E">
            <w:pPr>
              <w:widowControl/>
              <w:jc w:val="center"/>
              <w:textAlignment w:val="center"/>
              <w:rPr>
                <w:rFonts w:ascii="宋体" w:hAnsi="宋体" w:cs="宋体"/>
                <w:bCs/>
                <w:sz w:val="24"/>
                <w:highlight w:val="none"/>
              </w:rPr>
            </w:pPr>
            <w:r>
              <w:rPr>
                <w:rFonts w:hint="eastAsia" w:ascii="宋体" w:hAnsi="宋体" w:cs="宋体"/>
                <w:kern w:val="0"/>
                <w:sz w:val="24"/>
                <w:highlight w:val="none"/>
              </w:rPr>
              <w:t>45</w:t>
            </w:r>
          </w:p>
        </w:tc>
        <w:tc>
          <w:tcPr>
            <w:tcW w:w="1182" w:type="dxa"/>
            <w:vAlign w:val="center"/>
          </w:tcPr>
          <w:p w14:paraId="49D14ECD">
            <w:pPr>
              <w:widowControl/>
              <w:jc w:val="center"/>
              <w:textAlignment w:val="center"/>
              <w:rPr>
                <w:rFonts w:ascii="宋体" w:hAnsi="宋体" w:cs="宋体"/>
                <w:bCs/>
                <w:sz w:val="24"/>
                <w:highlight w:val="none"/>
              </w:rPr>
            </w:pPr>
            <w:r>
              <w:rPr>
                <w:rFonts w:hint="eastAsia" w:ascii="宋体" w:hAnsi="宋体" w:cs="宋体"/>
                <w:kern w:val="0"/>
                <w:sz w:val="24"/>
                <w:highlight w:val="none"/>
              </w:rPr>
              <w:t>浙JH9267</w:t>
            </w:r>
          </w:p>
        </w:tc>
        <w:tc>
          <w:tcPr>
            <w:tcW w:w="1112" w:type="dxa"/>
            <w:vAlign w:val="center"/>
          </w:tcPr>
          <w:p w14:paraId="08438C46">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1F85FB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E28B1A3">
            <w:pPr>
              <w:widowControl/>
              <w:jc w:val="center"/>
              <w:textAlignment w:val="center"/>
              <w:rPr>
                <w:rFonts w:ascii="宋体" w:hAnsi="宋体" w:cs="宋体"/>
                <w:bCs/>
                <w:sz w:val="24"/>
                <w:highlight w:val="none"/>
              </w:rPr>
            </w:pPr>
            <w:r>
              <w:rPr>
                <w:rFonts w:hint="eastAsia" w:ascii="宋体" w:hAnsi="宋体" w:cs="宋体"/>
                <w:kern w:val="0"/>
                <w:sz w:val="24"/>
                <w:highlight w:val="none"/>
              </w:rPr>
              <w:t>牡丹MD6608KH5</w:t>
            </w:r>
          </w:p>
        </w:tc>
        <w:tc>
          <w:tcPr>
            <w:tcW w:w="1133" w:type="dxa"/>
            <w:vAlign w:val="center"/>
          </w:tcPr>
          <w:p w14:paraId="228EC600">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2346B10D">
            <w:pPr>
              <w:widowControl/>
              <w:jc w:val="center"/>
              <w:textAlignment w:val="center"/>
              <w:rPr>
                <w:rFonts w:ascii="宋体" w:hAnsi="宋体" w:cs="宋体"/>
                <w:bCs/>
                <w:sz w:val="24"/>
                <w:highlight w:val="none"/>
              </w:rPr>
            </w:pPr>
            <w:r>
              <w:rPr>
                <w:rFonts w:hint="eastAsia" w:ascii="宋体" w:hAnsi="宋体" w:cs="宋体"/>
                <w:kern w:val="0"/>
                <w:sz w:val="24"/>
                <w:highlight w:val="none"/>
              </w:rPr>
              <w:t>2018年9月</w:t>
            </w:r>
          </w:p>
        </w:tc>
      </w:tr>
      <w:tr w14:paraId="10CA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4E1BEFB">
            <w:pPr>
              <w:widowControl/>
              <w:jc w:val="center"/>
              <w:textAlignment w:val="center"/>
              <w:rPr>
                <w:rFonts w:ascii="宋体" w:hAnsi="宋体" w:cs="宋体"/>
                <w:bCs/>
                <w:sz w:val="24"/>
                <w:highlight w:val="none"/>
              </w:rPr>
            </w:pPr>
            <w:r>
              <w:rPr>
                <w:rFonts w:hint="eastAsia" w:ascii="宋体" w:hAnsi="宋体" w:cs="宋体"/>
                <w:kern w:val="0"/>
                <w:sz w:val="24"/>
                <w:highlight w:val="none"/>
              </w:rPr>
              <w:t>46</w:t>
            </w:r>
          </w:p>
        </w:tc>
        <w:tc>
          <w:tcPr>
            <w:tcW w:w="1182" w:type="dxa"/>
            <w:vAlign w:val="center"/>
          </w:tcPr>
          <w:p w14:paraId="19A6BACA">
            <w:pPr>
              <w:widowControl/>
              <w:jc w:val="center"/>
              <w:textAlignment w:val="center"/>
              <w:rPr>
                <w:rFonts w:ascii="宋体" w:hAnsi="宋体" w:cs="宋体"/>
                <w:bCs/>
                <w:sz w:val="24"/>
                <w:highlight w:val="none"/>
              </w:rPr>
            </w:pPr>
            <w:r>
              <w:rPr>
                <w:rFonts w:hint="eastAsia" w:ascii="宋体" w:hAnsi="宋体" w:cs="宋体"/>
                <w:kern w:val="0"/>
                <w:sz w:val="24"/>
                <w:highlight w:val="none"/>
              </w:rPr>
              <w:t>浙JH2621</w:t>
            </w:r>
          </w:p>
        </w:tc>
        <w:tc>
          <w:tcPr>
            <w:tcW w:w="1112" w:type="dxa"/>
            <w:vAlign w:val="center"/>
          </w:tcPr>
          <w:p w14:paraId="1366D898">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6E7DE25B">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02A376BA">
            <w:pPr>
              <w:widowControl/>
              <w:jc w:val="center"/>
              <w:textAlignment w:val="center"/>
              <w:rPr>
                <w:rFonts w:ascii="宋体" w:hAnsi="宋体" w:cs="宋体"/>
                <w:bCs/>
                <w:sz w:val="24"/>
                <w:highlight w:val="none"/>
              </w:rPr>
            </w:pPr>
            <w:r>
              <w:rPr>
                <w:rFonts w:hint="eastAsia" w:ascii="宋体" w:hAnsi="宋体" w:cs="宋体"/>
                <w:kern w:val="0"/>
                <w:sz w:val="24"/>
                <w:highlight w:val="none"/>
              </w:rPr>
              <w:t>牡丹MD6608KH5</w:t>
            </w:r>
          </w:p>
        </w:tc>
        <w:tc>
          <w:tcPr>
            <w:tcW w:w="1133" w:type="dxa"/>
            <w:vAlign w:val="center"/>
          </w:tcPr>
          <w:p w14:paraId="11578D6C">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5EEC13FE">
            <w:pPr>
              <w:widowControl/>
              <w:jc w:val="center"/>
              <w:textAlignment w:val="center"/>
              <w:rPr>
                <w:rFonts w:ascii="宋体" w:hAnsi="宋体" w:cs="宋体"/>
                <w:bCs/>
                <w:sz w:val="24"/>
                <w:highlight w:val="none"/>
              </w:rPr>
            </w:pPr>
            <w:r>
              <w:rPr>
                <w:rFonts w:hint="eastAsia" w:ascii="宋体" w:hAnsi="宋体" w:cs="宋体"/>
                <w:kern w:val="0"/>
                <w:sz w:val="24"/>
                <w:highlight w:val="none"/>
              </w:rPr>
              <w:t>2018年9月</w:t>
            </w:r>
          </w:p>
        </w:tc>
      </w:tr>
      <w:tr w14:paraId="48F1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0B2E4E7">
            <w:pPr>
              <w:widowControl/>
              <w:jc w:val="center"/>
              <w:textAlignment w:val="center"/>
              <w:rPr>
                <w:rFonts w:ascii="宋体" w:hAnsi="宋体" w:cs="宋体"/>
                <w:bCs/>
                <w:sz w:val="24"/>
                <w:highlight w:val="none"/>
              </w:rPr>
            </w:pPr>
            <w:r>
              <w:rPr>
                <w:rFonts w:hint="eastAsia" w:ascii="宋体" w:hAnsi="宋体" w:cs="宋体"/>
                <w:kern w:val="0"/>
                <w:sz w:val="24"/>
                <w:highlight w:val="none"/>
              </w:rPr>
              <w:t>47</w:t>
            </w:r>
          </w:p>
        </w:tc>
        <w:tc>
          <w:tcPr>
            <w:tcW w:w="1182" w:type="dxa"/>
            <w:vAlign w:val="center"/>
          </w:tcPr>
          <w:p w14:paraId="26E695E7">
            <w:pPr>
              <w:widowControl/>
              <w:jc w:val="center"/>
              <w:textAlignment w:val="center"/>
              <w:rPr>
                <w:rFonts w:ascii="宋体" w:hAnsi="宋体" w:cs="宋体"/>
                <w:bCs/>
                <w:sz w:val="24"/>
                <w:highlight w:val="none"/>
              </w:rPr>
            </w:pPr>
            <w:r>
              <w:rPr>
                <w:rFonts w:hint="eastAsia" w:ascii="宋体" w:hAnsi="宋体" w:cs="宋体"/>
                <w:kern w:val="0"/>
                <w:sz w:val="24"/>
                <w:highlight w:val="none"/>
              </w:rPr>
              <w:t>浙JH0880</w:t>
            </w:r>
          </w:p>
        </w:tc>
        <w:tc>
          <w:tcPr>
            <w:tcW w:w="1112" w:type="dxa"/>
            <w:vAlign w:val="center"/>
          </w:tcPr>
          <w:p w14:paraId="719478B7">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592BE7A">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69757C4">
            <w:pPr>
              <w:widowControl/>
              <w:jc w:val="center"/>
              <w:textAlignment w:val="center"/>
              <w:rPr>
                <w:rFonts w:ascii="宋体" w:hAnsi="宋体" w:cs="宋体"/>
                <w:bCs/>
                <w:sz w:val="24"/>
                <w:highlight w:val="none"/>
              </w:rPr>
            </w:pPr>
            <w:r>
              <w:rPr>
                <w:rFonts w:hint="eastAsia" w:ascii="宋体" w:hAnsi="宋体" w:cs="宋体"/>
                <w:kern w:val="0"/>
                <w:sz w:val="24"/>
                <w:highlight w:val="none"/>
              </w:rPr>
              <w:t>牡丹MD6601KH5</w:t>
            </w:r>
          </w:p>
        </w:tc>
        <w:tc>
          <w:tcPr>
            <w:tcW w:w="1133" w:type="dxa"/>
            <w:vAlign w:val="center"/>
          </w:tcPr>
          <w:p w14:paraId="65B1848D">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3781A009">
            <w:pPr>
              <w:widowControl/>
              <w:jc w:val="center"/>
              <w:textAlignment w:val="center"/>
              <w:rPr>
                <w:rFonts w:ascii="宋体" w:hAnsi="宋体" w:cs="宋体"/>
                <w:bCs/>
                <w:sz w:val="24"/>
                <w:highlight w:val="none"/>
              </w:rPr>
            </w:pPr>
            <w:r>
              <w:rPr>
                <w:rFonts w:hint="eastAsia" w:ascii="宋体" w:hAnsi="宋体" w:cs="宋体"/>
                <w:kern w:val="0"/>
                <w:sz w:val="24"/>
                <w:highlight w:val="none"/>
              </w:rPr>
              <w:t>2018年6月</w:t>
            </w:r>
          </w:p>
        </w:tc>
      </w:tr>
      <w:tr w14:paraId="24F3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82EBC78">
            <w:pPr>
              <w:widowControl/>
              <w:jc w:val="center"/>
              <w:textAlignment w:val="center"/>
              <w:rPr>
                <w:rFonts w:ascii="宋体" w:hAnsi="宋体" w:cs="宋体"/>
                <w:bCs/>
                <w:sz w:val="24"/>
                <w:highlight w:val="none"/>
              </w:rPr>
            </w:pPr>
            <w:r>
              <w:rPr>
                <w:rFonts w:hint="eastAsia" w:ascii="宋体" w:hAnsi="宋体" w:cs="宋体"/>
                <w:kern w:val="0"/>
                <w:sz w:val="24"/>
                <w:highlight w:val="none"/>
              </w:rPr>
              <w:t>48</w:t>
            </w:r>
          </w:p>
        </w:tc>
        <w:tc>
          <w:tcPr>
            <w:tcW w:w="1182" w:type="dxa"/>
            <w:vAlign w:val="center"/>
          </w:tcPr>
          <w:p w14:paraId="604D86F6">
            <w:pPr>
              <w:widowControl/>
              <w:jc w:val="center"/>
              <w:textAlignment w:val="center"/>
              <w:rPr>
                <w:rFonts w:ascii="宋体" w:hAnsi="宋体" w:cs="宋体"/>
                <w:bCs/>
                <w:sz w:val="24"/>
                <w:highlight w:val="none"/>
              </w:rPr>
            </w:pPr>
            <w:r>
              <w:rPr>
                <w:rFonts w:hint="eastAsia" w:ascii="宋体" w:hAnsi="宋体" w:cs="宋体"/>
                <w:kern w:val="0"/>
                <w:sz w:val="24"/>
                <w:highlight w:val="none"/>
              </w:rPr>
              <w:t>浙JH1783</w:t>
            </w:r>
          </w:p>
        </w:tc>
        <w:tc>
          <w:tcPr>
            <w:tcW w:w="1112" w:type="dxa"/>
            <w:vAlign w:val="center"/>
          </w:tcPr>
          <w:p w14:paraId="3435084B">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C283C9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841FF95">
            <w:pPr>
              <w:widowControl/>
              <w:jc w:val="center"/>
              <w:textAlignment w:val="center"/>
              <w:rPr>
                <w:rFonts w:ascii="宋体" w:hAnsi="宋体" w:cs="宋体"/>
                <w:bCs/>
                <w:sz w:val="24"/>
                <w:highlight w:val="none"/>
              </w:rPr>
            </w:pPr>
            <w:r>
              <w:rPr>
                <w:rFonts w:hint="eastAsia" w:ascii="宋体" w:hAnsi="宋体" w:cs="宋体"/>
                <w:kern w:val="0"/>
                <w:sz w:val="24"/>
                <w:highlight w:val="none"/>
              </w:rPr>
              <w:t>金旅XML6601J15</w:t>
            </w:r>
          </w:p>
        </w:tc>
        <w:tc>
          <w:tcPr>
            <w:tcW w:w="1133" w:type="dxa"/>
            <w:vAlign w:val="center"/>
          </w:tcPr>
          <w:p w14:paraId="0C637683">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06FE5805">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3B06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D964512">
            <w:pPr>
              <w:widowControl/>
              <w:jc w:val="center"/>
              <w:textAlignment w:val="center"/>
              <w:rPr>
                <w:rFonts w:ascii="宋体" w:hAnsi="宋体" w:cs="宋体"/>
                <w:bCs/>
                <w:sz w:val="24"/>
                <w:highlight w:val="none"/>
              </w:rPr>
            </w:pPr>
            <w:r>
              <w:rPr>
                <w:rFonts w:hint="eastAsia" w:ascii="宋体" w:hAnsi="宋体" w:cs="宋体"/>
                <w:kern w:val="0"/>
                <w:sz w:val="24"/>
                <w:highlight w:val="none"/>
              </w:rPr>
              <w:t>49</w:t>
            </w:r>
          </w:p>
        </w:tc>
        <w:tc>
          <w:tcPr>
            <w:tcW w:w="1182" w:type="dxa"/>
            <w:vAlign w:val="center"/>
          </w:tcPr>
          <w:p w14:paraId="695944AE">
            <w:pPr>
              <w:widowControl/>
              <w:jc w:val="center"/>
              <w:textAlignment w:val="center"/>
              <w:rPr>
                <w:rFonts w:ascii="宋体" w:hAnsi="宋体" w:cs="宋体"/>
                <w:bCs/>
                <w:sz w:val="24"/>
                <w:highlight w:val="none"/>
              </w:rPr>
            </w:pPr>
            <w:r>
              <w:rPr>
                <w:rFonts w:hint="eastAsia" w:ascii="宋体" w:hAnsi="宋体" w:cs="宋体"/>
                <w:kern w:val="0"/>
                <w:sz w:val="24"/>
                <w:highlight w:val="none"/>
              </w:rPr>
              <w:t>浙J12668</w:t>
            </w:r>
          </w:p>
        </w:tc>
        <w:tc>
          <w:tcPr>
            <w:tcW w:w="1112" w:type="dxa"/>
            <w:vAlign w:val="center"/>
          </w:tcPr>
          <w:p w14:paraId="193E49ED">
            <w:pPr>
              <w:jc w:val="center"/>
              <w:rPr>
                <w:rFonts w:ascii="宋体" w:hAnsi="宋体" w:cs="宋体"/>
                <w:bCs/>
                <w:sz w:val="24"/>
                <w:highlight w:val="none"/>
              </w:rPr>
            </w:pPr>
          </w:p>
        </w:tc>
        <w:tc>
          <w:tcPr>
            <w:tcW w:w="1093" w:type="dxa"/>
            <w:vAlign w:val="center"/>
          </w:tcPr>
          <w:p w14:paraId="181EEEF3">
            <w:pPr>
              <w:widowControl/>
              <w:jc w:val="center"/>
              <w:textAlignment w:val="center"/>
              <w:rPr>
                <w:rFonts w:ascii="宋体" w:hAnsi="宋体" w:cs="宋体"/>
                <w:bCs/>
                <w:sz w:val="24"/>
                <w:highlight w:val="none"/>
              </w:rPr>
            </w:pPr>
            <w:r>
              <w:rPr>
                <w:rFonts w:hint="eastAsia" w:ascii="宋体" w:hAnsi="宋体" w:cs="宋体"/>
                <w:kern w:val="0"/>
                <w:sz w:val="24"/>
                <w:highlight w:val="none"/>
              </w:rPr>
              <w:t>小型普通客车</w:t>
            </w:r>
          </w:p>
        </w:tc>
        <w:tc>
          <w:tcPr>
            <w:tcW w:w="1776" w:type="dxa"/>
            <w:vAlign w:val="center"/>
          </w:tcPr>
          <w:p w14:paraId="7305A8AF">
            <w:pPr>
              <w:widowControl/>
              <w:jc w:val="center"/>
              <w:textAlignment w:val="center"/>
              <w:rPr>
                <w:rFonts w:ascii="宋体" w:hAnsi="宋体" w:cs="宋体"/>
                <w:bCs/>
                <w:sz w:val="24"/>
                <w:highlight w:val="none"/>
              </w:rPr>
            </w:pPr>
            <w:r>
              <w:rPr>
                <w:rFonts w:hint="eastAsia" w:ascii="宋体" w:hAnsi="宋体" w:cs="宋体"/>
                <w:kern w:val="0"/>
                <w:sz w:val="24"/>
                <w:highlight w:val="none"/>
              </w:rPr>
              <w:t>日产贵士JN1AE25E</w:t>
            </w:r>
          </w:p>
        </w:tc>
        <w:tc>
          <w:tcPr>
            <w:tcW w:w="1133" w:type="dxa"/>
            <w:vAlign w:val="center"/>
          </w:tcPr>
          <w:p w14:paraId="78AB3B54">
            <w:pPr>
              <w:widowControl/>
              <w:jc w:val="center"/>
              <w:textAlignment w:val="center"/>
              <w:rPr>
                <w:rFonts w:ascii="宋体" w:hAnsi="宋体" w:cs="宋体"/>
                <w:bCs/>
                <w:sz w:val="24"/>
                <w:highlight w:val="none"/>
              </w:rPr>
            </w:pPr>
            <w:r>
              <w:rPr>
                <w:rFonts w:hint="eastAsia" w:ascii="宋体" w:hAnsi="宋体" w:cs="宋体"/>
                <w:kern w:val="0"/>
                <w:sz w:val="24"/>
                <w:highlight w:val="none"/>
              </w:rPr>
              <w:t>7</w:t>
            </w:r>
          </w:p>
        </w:tc>
        <w:tc>
          <w:tcPr>
            <w:tcW w:w="1133" w:type="dxa"/>
            <w:vAlign w:val="center"/>
          </w:tcPr>
          <w:p w14:paraId="6E962A73">
            <w:pPr>
              <w:widowControl/>
              <w:jc w:val="center"/>
              <w:textAlignment w:val="center"/>
              <w:rPr>
                <w:rFonts w:ascii="宋体" w:hAnsi="宋体" w:cs="宋体"/>
                <w:bCs/>
                <w:sz w:val="24"/>
                <w:highlight w:val="none"/>
              </w:rPr>
            </w:pPr>
            <w:r>
              <w:rPr>
                <w:rFonts w:hint="eastAsia" w:ascii="宋体" w:hAnsi="宋体" w:cs="宋体"/>
                <w:kern w:val="0"/>
                <w:sz w:val="24"/>
                <w:highlight w:val="none"/>
              </w:rPr>
              <w:t>2015年4月</w:t>
            </w:r>
          </w:p>
        </w:tc>
      </w:tr>
      <w:tr w14:paraId="22B5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B94AC06">
            <w:pPr>
              <w:widowControl/>
              <w:jc w:val="center"/>
              <w:textAlignment w:val="center"/>
              <w:rPr>
                <w:rFonts w:ascii="宋体" w:hAnsi="宋体" w:cs="宋体"/>
                <w:bCs/>
                <w:sz w:val="24"/>
                <w:highlight w:val="none"/>
              </w:rPr>
            </w:pPr>
            <w:r>
              <w:rPr>
                <w:rFonts w:hint="eastAsia" w:ascii="宋体" w:hAnsi="宋体" w:cs="宋体"/>
                <w:kern w:val="0"/>
                <w:sz w:val="24"/>
                <w:highlight w:val="none"/>
              </w:rPr>
              <w:t>50</w:t>
            </w:r>
          </w:p>
        </w:tc>
        <w:tc>
          <w:tcPr>
            <w:tcW w:w="1182" w:type="dxa"/>
            <w:vAlign w:val="center"/>
          </w:tcPr>
          <w:p w14:paraId="65A14F0E">
            <w:pPr>
              <w:widowControl/>
              <w:jc w:val="center"/>
              <w:textAlignment w:val="center"/>
              <w:rPr>
                <w:rFonts w:ascii="宋体" w:hAnsi="宋体" w:cs="宋体"/>
                <w:bCs/>
                <w:sz w:val="24"/>
                <w:highlight w:val="none"/>
              </w:rPr>
            </w:pPr>
            <w:r>
              <w:rPr>
                <w:rFonts w:hint="eastAsia" w:ascii="宋体" w:hAnsi="宋体" w:cs="宋体"/>
                <w:kern w:val="0"/>
                <w:sz w:val="24"/>
                <w:highlight w:val="none"/>
              </w:rPr>
              <w:t>浙J007FA</w:t>
            </w:r>
          </w:p>
        </w:tc>
        <w:tc>
          <w:tcPr>
            <w:tcW w:w="1112" w:type="dxa"/>
            <w:vAlign w:val="center"/>
          </w:tcPr>
          <w:p w14:paraId="6BEB159F">
            <w:pPr>
              <w:jc w:val="center"/>
              <w:rPr>
                <w:rFonts w:ascii="宋体" w:hAnsi="宋体" w:cs="宋体"/>
                <w:bCs/>
                <w:sz w:val="24"/>
                <w:highlight w:val="none"/>
              </w:rPr>
            </w:pPr>
          </w:p>
        </w:tc>
        <w:tc>
          <w:tcPr>
            <w:tcW w:w="1093" w:type="dxa"/>
            <w:vAlign w:val="center"/>
          </w:tcPr>
          <w:p w14:paraId="40193883">
            <w:pPr>
              <w:widowControl/>
              <w:jc w:val="center"/>
              <w:textAlignment w:val="center"/>
              <w:rPr>
                <w:rFonts w:ascii="宋体" w:hAnsi="宋体" w:cs="宋体"/>
                <w:bCs/>
                <w:sz w:val="24"/>
                <w:highlight w:val="none"/>
              </w:rPr>
            </w:pPr>
            <w:r>
              <w:rPr>
                <w:rFonts w:hint="eastAsia" w:ascii="宋体" w:hAnsi="宋体" w:cs="宋体"/>
                <w:kern w:val="0"/>
                <w:sz w:val="24"/>
                <w:highlight w:val="none"/>
              </w:rPr>
              <w:t>小型普通客车</w:t>
            </w:r>
          </w:p>
        </w:tc>
        <w:tc>
          <w:tcPr>
            <w:tcW w:w="1776" w:type="dxa"/>
            <w:vAlign w:val="center"/>
          </w:tcPr>
          <w:p w14:paraId="18FD077C">
            <w:pPr>
              <w:widowControl/>
              <w:jc w:val="center"/>
              <w:textAlignment w:val="center"/>
              <w:rPr>
                <w:rFonts w:ascii="宋体" w:hAnsi="宋体" w:cs="宋体"/>
                <w:bCs/>
                <w:sz w:val="24"/>
                <w:highlight w:val="none"/>
              </w:rPr>
            </w:pPr>
            <w:r>
              <w:rPr>
                <w:rFonts w:hint="eastAsia" w:ascii="宋体" w:hAnsi="宋体" w:cs="宋体"/>
                <w:kern w:val="0"/>
                <w:sz w:val="24"/>
                <w:highlight w:val="none"/>
              </w:rPr>
              <w:t>帝豪JL6453C05</w:t>
            </w:r>
          </w:p>
        </w:tc>
        <w:tc>
          <w:tcPr>
            <w:tcW w:w="1133" w:type="dxa"/>
            <w:vAlign w:val="center"/>
          </w:tcPr>
          <w:p w14:paraId="03903636">
            <w:pPr>
              <w:widowControl/>
              <w:jc w:val="center"/>
              <w:textAlignment w:val="center"/>
              <w:rPr>
                <w:rFonts w:ascii="宋体" w:hAnsi="宋体" w:cs="宋体"/>
                <w:bCs/>
                <w:sz w:val="24"/>
                <w:highlight w:val="none"/>
              </w:rPr>
            </w:pPr>
            <w:r>
              <w:rPr>
                <w:rFonts w:hint="eastAsia" w:ascii="宋体" w:hAnsi="宋体" w:cs="宋体"/>
                <w:kern w:val="0"/>
                <w:sz w:val="24"/>
                <w:highlight w:val="none"/>
              </w:rPr>
              <w:t>5</w:t>
            </w:r>
          </w:p>
        </w:tc>
        <w:tc>
          <w:tcPr>
            <w:tcW w:w="1133" w:type="dxa"/>
            <w:vAlign w:val="center"/>
          </w:tcPr>
          <w:p w14:paraId="430853DE">
            <w:pPr>
              <w:widowControl/>
              <w:jc w:val="center"/>
              <w:textAlignment w:val="center"/>
              <w:rPr>
                <w:rFonts w:ascii="宋体" w:hAnsi="宋体" w:cs="宋体"/>
                <w:bCs/>
                <w:sz w:val="24"/>
                <w:highlight w:val="none"/>
              </w:rPr>
            </w:pPr>
            <w:r>
              <w:rPr>
                <w:rFonts w:hint="eastAsia" w:ascii="宋体" w:hAnsi="宋体" w:cs="宋体"/>
                <w:kern w:val="0"/>
                <w:sz w:val="24"/>
                <w:highlight w:val="none"/>
              </w:rPr>
              <w:t>2018年3月</w:t>
            </w:r>
          </w:p>
        </w:tc>
      </w:tr>
      <w:tr w14:paraId="5227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28074EE">
            <w:pPr>
              <w:widowControl/>
              <w:jc w:val="center"/>
              <w:textAlignment w:val="center"/>
              <w:rPr>
                <w:rFonts w:ascii="宋体" w:hAnsi="宋体" w:cs="宋体"/>
                <w:bCs/>
                <w:sz w:val="24"/>
                <w:highlight w:val="none"/>
              </w:rPr>
            </w:pPr>
            <w:r>
              <w:rPr>
                <w:rFonts w:hint="eastAsia" w:ascii="宋体" w:hAnsi="宋体" w:cs="宋体"/>
                <w:kern w:val="0"/>
                <w:sz w:val="24"/>
                <w:highlight w:val="none"/>
              </w:rPr>
              <w:t>51</w:t>
            </w:r>
          </w:p>
        </w:tc>
        <w:tc>
          <w:tcPr>
            <w:tcW w:w="1182" w:type="dxa"/>
            <w:vAlign w:val="center"/>
          </w:tcPr>
          <w:p w14:paraId="02B4C0E8">
            <w:pPr>
              <w:widowControl/>
              <w:jc w:val="center"/>
              <w:textAlignment w:val="center"/>
              <w:rPr>
                <w:rFonts w:ascii="宋体" w:hAnsi="宋体" w:cs="宋体"/>
                <w:bCs/>
                <w:sz w:val="24"/>
                <w:highlight w:val="none"/>
              </w:rPr>
            </w:pPr>
            <w:r>
              <w:rPr>
                <w:rFonts w:hint="eastAsia" w:ascii="宋体" w:hAnsi="宋体" w:cs="宋体"/>
                <w:kern w:val="0"/>
                <w:sz w:val="24"/>
                <w:highlight w:val="none"/>
              </w:rPr>
              <w:t>浙J5VP03</w:t>
            </w:r>
          </w:p>
        </w:tc>
        <w:tc>
          <w:tcPr>
            <w:tcW w:w="1112" w:type="dxa"/>
            <w:vAlign w:val="center"/>
          </w:tcPr>
          <w:p w14:paraId="2AE39F6D">
            <w:pPr>
              <w:jc w:val="center"/>
              <w:rPr>
                <w:rFonts w:ascii="宋体" w:hAnsi="宋体" w:cs="宋体"/>
                <w:bCs/>
                <w:sz w:val="24"/>
                <w:highlight w:val="none"/>
              </w:rPr>
            </w:pPr>
          </w:p>
        </w:tc>
        <w:tc>
          <w:tcPr>
            <w:tcW w:w="1093" w:type="dxa"/>
            <w:vAlign w:val="center"/>
          </w:tcPr>
          <w:p w14:paraId="47BF7776">
            <w:pPr>
              <w:widowControl/>
              <w:jc w:val="center"/>
              <w:textAlignment w:val="center"/>
              <w:rPr>
                <w:rFonts w:ascii="宋体" w:hAnsi="宋体" w:cs="宋体"/>
                <w:bCs/>
                <w:sz w:val="24"/>
                <w:highlight w:val="none"/>
              </w:rPr>
            </w:pPr>
            <w:r>
              <w:rPr>
                <w:rFonts w:hint="eastAsia" w:ascii="宋体" w:hAnsi="宋体" w:cs="宋体"/>
                <w:kern w:val="0"/>
                <w:sz w:val="24"/>
                <w:highlight w:val="none"/>
              </w:rPr>
              <w:t>小型普通货车</w:t>
            </w:r>
          </w:p>
        </w:tc>
        <w:tc>
          <w:tcPr>
            <w:tcW w:w="1776" w:type="dxa"/>
            <w:vAlign w:val="center"/>
          </w:tcPr>
          <w:p w14:paraId="60DC7078">
            <w:pPr>
              <w:widowControl/>
              <w:jc w:val="center"/>
              <w:textAlignment w:val="center"/>
              <w:rPr>
                <w:rFonts w:ascii="宋体" w:hAnsi="宋体" w:cs="宋体"/>
                <w:bCs/>
                <w:sz w:val="24"/>
                <w:highlight w:val="none"/>
              </w:rPr>
            </w:pPr>
            <w:r>
              <w:rPr>
                <w:rFonts w:hint="eastAsia" w:ascii="宋体" w:hAnsi="宋体" w:cs="宋体"/>
                <w:kern w:val="0"/>
                <w:sz w:val="24"/>
                <w:highlight w:val="none"/>
              </w:rPr>
              <w:t>五菱LZW1029SBFA</w:t>
            </w:r>
          </w:p>
        </w:tc>
        <w:tc>
          <w:tcPr>
            <w:tcW w:w="1133" w:type="dxa"/>
            <w:vAlign w:val="center"/>
          </w:tcPr>
          <w:p w14:paraId="58843C66">
            <w:pPr>
              <w:widowControl/>
              <w:jc w:val="center"/>
              <w:textAlignment w:val="center"/>
              <w:rPr>
                <w:rFonts w:ascii="宋体" w:hAnsi="宋体" w:cs="宋体"/>
                <w:bCs/>
                <w:sz w:val="24"/>
                <w:highlight w:val="none"/>
              </w:rPr>
            </w:pPr>
            <w:r>
              <w:rPr>
                <w:rFonts w:hint="eastAsia" w:ascii="宋体" w:hAnsi="宋体" w:cs="宋体"/>
                <w:kern w:val="0"/>
                <w:sz w:val="24"/>
                <w:highlight w:val="none"/>
              </w:rPr>
              <w:t>5</w:t>
            </w:r>
          </w:p>
        </w:tc>
        <w:tc>
          <w:tcPr>
            <w:tcW w:w="1133" w:type="dxa"/>
            <w:vAlign w:val="center"/>
          </w:tcPr>
          <w:p w14:paraId="19D40295">
            <w:pPr>
              <w:widowControl/>
              <w:jc w:val="center"/>
              <w:textAlignment w:val="center"/>
              <w:rPr>
                <w:rFonts w:ascii="宋体" w:hAnsi="宋体" w:cs="宋体"/>
                <w:bCs/>
                <w:sz w:val="24"/>
                <w:highlight w:val="none"/>
              </w:rPr>
            </w:pPr>
            <w:r>
              <w:rPr>
                <w:rFonts w:hint="eastAsia" w:ascii="宋体" w:hAnsi="宋体" w:cs="宋体"/>
                <w:kern w:val="0"/>
                <w:sz w:val="24"/>
                <w:highlight w:val="none"/>
              </w:rPr>
              <w:t>2015年10月</w:t>
            </w:r>
          </w:p>
        </w:tc>
      </w:tr>
    </w:tbl>
    <w:p w14:paraId="554E503F">
      <w:pPr>
        <w:pStyle w:val="80"/>
        <w:spacing w:line="360" w:lineRule="auto"/>
        <w:ind w:firstLine="480" w:firstLineChars="200"/>
        <w:rPr>
          <w:rFonts w:ascii="宋体" w:hAnsi="宋体" w:cs="宋体"/>
          <w:highlight w:val="none"/>
        </w:rPr>
      </w:pPr>
      <w:r>
        <w:rPr>
          <w:rFonts w:hint="eastAsia" w:ascii="宋体" w:hAnsi="宋体" w:cs="宋体"/>
          <w:bCs/>
          <w:szCs w:val="24"/>
          <w:highlight w:val="none"/>
        </w:rPr>
        <w:t>备注：机动车车辆情况仅为浙江金豹运业有限公司拟投保的暂定数量，最终投保车辆的数量以浙江金豹运业有限公司实际采购并参保的数量为准。</w:t>
      </w:r>
    </w:p>
    <w:p w14:paraId="21B81840">
      <w:pPr>
        <w:rPr>
          <w:highlight w:val="none"/>
        </w:rPr>
      </w:pPr>
      <w:r>
        <w:rPr>
          <w:highlight w:val="none"/>
        </w:rPr>
        <w:br w:type="page"/>
      </w:r>
    </w:p>
    <w:p w14:paraId="0E513B28">
      <w:pPr>
        <w:numPr>
          <w:ilvl w:val="0"/>
          <w:numId w:val="4"/>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评标</w:t>
      </w:r>
      <w:bookmarkEnd w:id="40"/>
    </w:p>
    <w:p w14:paraId="6FFCA37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一、评标原则</w:t>
      </w:r>
    </w:p>
    <w:p w14:paraId="6CC350EA">
      <w:pPr>
        <w:spacing w:line="360" w:lineRule="auto"/>
        <w:ind w:firstLine="480" w:firstLineChars="200"/>
        <w:rPr>
          <w:rFonts w:ascii="宋体" w:hAnsi="宋体" w:cs="宋体"/>
          <w:sz w:val="24"/>
          <w:highlight w:val="none"/>
        </w:rPr>
      </w:pPr>
      <w:r>
        <w:rPr>
          <w:rFonts w:hint="eastAsia" w:ascii="宋体" w:hAnsi="宋体" w:cs="宋体"/>
          <w:sz w:val="24"/>
          <w:highlight w:val="none"/>
        </w:rPr>
        <w:t>（一）评标活动遵循公平、公正、科学和择优的原则，以招标文件和投标文件为评标的基本依据，并按照招标文件规定的评标方法和评标标准进行评标。</w:t>
      </w:r>
    </w:p>
    <w:p w14:paraId="70724CD7">
      <w:pPr>
        <w:spacing w:line="360" w:lineRule="auto"/>
        <w:ind w:firstLine="480" w:firstLineChars="200"/>
        <w:rPr>
          <w:rFonts w:ascii="宋体" w:hAnsi="宋体" w:cs="宋体"/>
          <w:sz w:val="24"/>
          <w:highlight w:val="none"/>
        </w:rPr>
      </w:pPr>
      <w:r>
        <w:rPr>
          <w:rFonts w:hint="eastAsia" w:ascii="宋体" w:hAnsi="宋体" w:cs="宋体"/>
          <w:sz w:val="24"/>
          <w:highlight w:val="none"/>
        </w:rPr>
        <w:t>（二）任何单位和个人不得干扰、影响评标的正常进行；评标委员会及有关工作人员应不带任何倾向性和启发性，不得向外界透露任何与评标有关的内容，不得私下与投标人接触。</w:t>
      </w:r>
    </w:p>
    <w:p w14:paraId="31A76865">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二、评标方法</w:t>
      </w:r>
    </w:p>
    <w:p w14:paraId="5C28B323">
      <w:pPr>
        <w:spacing w:line="360" w:lineRule="auto"/>
        <w:ind w:firstLine="480" w:firstLineChars="200"/>
        <w:rPr>
          <w:highlight w:val="none"/>
        </w:rPr>
      </w:pPr>
      <w:r>
        <w:rPr>
          <w:rFonts w:hint="eastAsia" w:ascii="宋体" w:hAnsi="宋体" w:cs="宋体"/>
          <w:sz w:val="24"/>
          <w:highlight w:val="none"/>
        </w:rPr>
        <w:t>综合评分法，是指投标文件满足招标文件全部实质性要求，且按照评审因素的量化指标评审得分最高的投标人为第一中标候选人，次高的为第二中标候选人的评标方法。</w:t>
      </w:r>
    </w:p>
    <w:p w14:paraId="5A6B3FAC">
      <w:pPr>
        <w:pStyle w:val="23"/>
        <w:spacing w:after="0" w:line="360" w:lineRule="auto"/>
        <w:ind w:left="0" w:leftChars="0"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三、评标委员会</w:t>
      </w:r>
    </w:p>
    <w:p w14:paraId="2D198AAB">
      <w:pPr>
        <w:pStyle w:val="6"/>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（一）本项目评标委员会由采购人代表和评审专家组成。</w:t>
      </w:r>
    </w:p>
    <w:p w14:paraId="52FFC5A5">
      <w:pPr>
        <w:pStyle w:val="6"/>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（二）评标委员会成员与参与投标的供应商有下列情形之一的，应当回避：</w:t>
      </w:r>
    </w:p>
    <w:p w14:paraId="610F4506">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1.参加采购活动前3年内与供应商存在劳动关系；</w:t>
      </w:r>
    </w:p>
    <w:p w14:paraId="2EB5E3A5">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2.参加采购活动前3年内担任供应商的董事、监事；</w:t>
      </w:r>
    </w:p>
    <w:p w14:paraId="16F017C7">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3.参加采购活动前3年内是供应商的控股股东或者实际控制人；</w:t>
      </w:r>
    </w:p>
    <w:p w14:paraId="27461757">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4.与供应商的法定代表人或者负责人有夫妻、直系血亲、三代以内旁系血亲或者近姻亲关系；</w:t>
      </w:r>
    </w:p>
    <w:p w14:paraId="6993C1DA">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5.与供应商有其他可能影响采购活动公平、公正进行的关系；</w:t>
      </w:r>
    </w:p>
    <w:p w14:paraId="1A3F64C6">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6.法律法规规定的其他情形。</w:t>
      </w:r>
    </w:p>
    <w:p w14:paraId="7540DBFB">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（三）评标委员会负责具体评标事务，并独立履行下列职责：</w:t>
      </w:r>
    </w:p>
    <w:p w14:paraId="4444C84E">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1.审查、评价投标文件是否符合招标文件的商务、技术等实质性要求；</w:t>
      </w:r>
    </w:p>
    <w:p w14:paraId="479E9005">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2.要求投标人对投标文件有关事项作出澄清或者说明；</w:t>
      </w:r>
    </w:p>
    <w:p w14:paraId="00167623">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3.对投标文件进行比较和评价；</w:t>
      </w:r>
    </w:p>
    <w:p w14:paraId="77FA6041">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4.确定中标候选人名单，以及根据采购人委托直接确定中标人；</w:t>
      </w:r>
    </w:p>
    <w:p w14:paraId="39BEB0B2">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5.向采购人、采购组织机构或者有关部门报告评标中发现的违法行为；</w:t>
      </w:r>
    </w:p>
    <w:p w14:paraId="6427F6B6">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42F52A3E">
      <w:pPr>
        <w:pStyle w:val="19"/>
        <w:spacing w:before="0" w:beforeAutospacing="0" w:after="0" w:afterAutospacing="0" w:line="360" w:lineRule="auto"/>
        <w:ind w:firstLine="482" w:firstLineChars="200"/>
        <w:jc w:val="both"/>
        <w:rPr>
          <w:rFonts w:hint="default" w:asciiTheme="minorEastAsia" w:hAnsiTheme="minorEastAsia" w:eastAsiaTheme="minorEastAsia"/>
          <w:b/>
          <w:highlight w:val="none"/>
        </w:rPr>
      </w:pPr>
      <w:r>
        <w:rPr>
          <w:rFonts w:asciiTheme="minorEastAsia" w:hAnsiTheme="minorEastAsia" w:eastAsiaTheme="minorEastAsia"/>
          <w:b/>
          <w:highlight w:val="none"/>
        </w:rPr>
        <w:t>四、无效标情形</w:t>
      </w:r>
    </w:p>
    <w:p w14:paraId="2BD763B7">
      <w:pPr>
        <w:adjustRightInd w:val="0"/>
        <w:snapToGrid w:val="0"/>
        <w:spacing w:line="360" w:lineRule="auto"/>
        <w:ind w:firstLine="480" w:firstLineChars="200"/>
        <w:rPr>
          <w:rFonts w:asciiTheme="minorEastAsia" w:hAnsiTheme="minorEastAsia" w:eastAsiaTheme="minorEastAsia"/>
          <w:b/>
          <w:bCs/>
          <w:sz w:val="24"/>
          <w:highlight w:val="none"/>
        </w:rPr>
      </w:pPr>
      <w:r>
        <w:rPr>
          <w:rFonts w:hint="eastAsia" w:asciiTheme="minorEastAsia" w:hAnsiTheme="minorEastAsia" w:eastAsiaTheme="minorEastAsia"/>
          <w:kern w:val="0"/>
          <w:sz w:val="24"/>
          <w:highlight w:val="none"/>
        </w:rPr>
        <w:t>（一）在资格证明文件或商务与技术文件中出现投标报价的，或者报价文件中报价的服务跟商务与技术文件中的投标服务出现重大偏差的；</w:t>
      </w:r>
    </w:p>
    <w:p w14:paraId="788F2C6E">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（二）不具备招标文件中规定的资格要求的；</w:t>
      </w:r>
      <w:r>
        <w:rPr>
          <w:rFonts w:hint="default" w:asciiTheme="minorEastAsia" w:hAnsiTheme="minorEastAsia" w:eastAsiaTheme="minorEastAsia"/>
          <w:highlight w:val="none"/>
        </w:rPr>
        <w:tab/>
      </w:r>
    </w:p>
    <w:p w14:paraId="1341676F">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（三）投标文件含有采购人不能接受的附加条件的；</w:t>
      </w:r>
    </w:p>
    <w:p w14:paraId="3D1C59C2">
      <w:pPr>
        <w:pStyle w:val="7"/>
        <w:spacing w:line="360" w:lineRule="auto"/>
        <w:ind w:firstLine="480" w:firstLineChars="200"/>
        <w:jc w:val="both"/>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1C03B949">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 xml:space="preserve">（五）报价超过招标文件中规定的预算金额/最高限价或未填写投标报价的； </w:t>
      </w:r>
    </w:p>
    <w:p w14:paraId="7BA8694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（六）投标参数未如实填写，完全复制粘贴招标参数的；</w:t>
      </w:r>
    </w:p>
    <w:p w14:paraId="25EE1A1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（七）投标文件存在虚假材料的； </w:t>
      </w:r>
    </w:p>
    <w:p w14:paraId="0B1D4985">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（八）有</w:t>
      </w:r>
      <w:r>
        <w:rPr>
          <w:rFonts w:asciiTheme="minorEastAsia" w:hAnsiTheme="minorEastAsia" w:eastAsiaTheme="minorEastAsia"/>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highlight w:val="none"/>
        </w:rPr>
        <w:t>，并移送采购监管部门</w:t>
      </w:r>
      <w:r>
        <w:rPr>
          <w:rFonts w:asciiTheme="minorEastAsia" w:hAnsiTheme="minorEastAsia" w:eastAsiaTheme="minorEastAsia"/>
          <w:kern w:val="0"/>
          <w:sz w:val="24"/>
          <w:highlight w:val="none"/>
        </w:rPr>
        <w:t>：</w:t>
      </w:r>
    </w:p>
    <w:p w14:paraId="480F6BD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不同投标人的投标文件由同一单位或者个人编制；</w:t>
      </w:r>
    </w:p>
    <w:p w14:paraId="1766ADF2">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2.不同投标人委托同一单位或者个人办理投标事宜；</w:t>
      </w:r>
    </w:p>
    <w:p w14:paraId="3702A41F">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3.不同投标人的投标文件载明的项目管理成员或者联系人员为同一人；</w:t>
      </w:r>
    </w:p>
    <w:p w14:paraId="50D3F1BC">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4.不同投标人的投标文件异常一致或者投标报价呈规律性差异；</w:t>
      </w:r>
    </w:p>
    <w:p w14:paraId="4B349133">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5.不同投标人的投标文件相互混装。</w:t>
      </w:r>
    </w:p>
    <w:p w14:paraId="6C9982F7">
      <w:pPr>
        <w:pStyle w:val="19"/>
        <w:spacing w:before="0" w:beforeAutospacing="0" w:after="0" w:afterAutospacing="0" w:line="360" w:lineRule="auto"/>
        <w:ind w:firstLine="480" w:firstLineChars="200"/>
        <w:jc w:val="both"/>
        <w:rPr>
          <w:rFonts w:hint="default" w:asciiTheme="minorEastAsia" w:hAnsiTheme="minorEastAsia"/>
          <w:highlight w:val="none"/>
        </w:rPr>
      </w:pPr>
      <w:r>
        <w:rPr>
          <w:rFonts w:asciiTheme="minorEastAsia" w:hAnsiTheme="minorEastAsia" w:eastAsiaTheme="minorEastAsia"/>
          <w:highlight w:val="none"/>
        </w:rPr>
        <w:t>（九）</w:t>
      </w:r>
      <w:r>
        <w:rPr>
          <w:rFonts w:cs="宋体"/>
          <w:highlight w:val="none"/>
        </w:rPr>
        <w:t>实质性要求（招标文件中打“▲”内容）不响应的；</w:t>
      </w:r>
    </w:p>
    <w:p w14:paraId="5ADCE3EA">
      <w:pPr>
        <w:pStyle w:val="6"/>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（十）商务条款不响应的；</w:t>
      </w:r>
    </w:p>
    <w:p w14:paraId="3A71ABB8">
      <w:pPr>
        <w:pStyle w:val="6"/>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（十一）投标文件有效期不足的；</w:t>
      </w:r>
    </w:p>
    <w:p w14:paraId="42D68474">
      <w:pPr>
        <w:pStyle w:val="6"/>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（十二）逾期或未按要求提交投标文件的；</w:t>
      </w:r>
    </w:p>
    <w:p w14:paraId="39E55FF7">
      <w:pPr>
        <w:pStyle w:val="6"/>
        <w:spacing w:line="360" w:lineRule="auto"/>
        <w:ind w:firstLine="480" w:firstLineChars="200"/>
        <w:rPr>
          <w:rFonts w:asciiTheme="minorEastAsia" w:hAnsiTheme="minorEastAsia"/>
          <w:kern w:val="0"/>
          <w:sz w:val="24"/>
          <w:szCs w:val="24"/>
          <w:highlight w:val="none"/>
        </w:rPr>
      </w:pPr>
      <w:r>
        <w:rPr>
          <w:rFonts w:hint="eastAsia" w:asciiTheme="minorEastAsia" w:hAnsiTheme="minorEastAsia" w:eastAsiaTheme="minorEastAsia"/>
          <w:kern w:val="0"/>
          <w:sz w:val="24"/>
          <w:szCs w:val="24"/>
          <w:highlight w:val="none"/>
        </w:rPr>
        <w:t>（十三）其他</w:t>
      </w:r>
      <w:r>
        <w:rPr>
          <w:rFonts w:ascii="宋体" w:hAnsi="宋体" w:cs="宋体"/>
          <w:sz w:val="24"/>
          <w:szCs w:val="24"/>
          <w:highlight w:val="none"/>
        </w:rPr>
        <w:t>不符合法律法规相关规定的</w:t>
      </w:r>
      <w:r>
        <w:rPr>
          <w:rFonts w:hint="eastAsia" w:ascii="宋体" w:hAnsi="宋体" w:cs="宋体"/>
          <w:sz w:val="24"/>
          <w:szCs w:val="24"/>
          <w:highlight w:val="none"/>
        </w:rPr>
        <w:t>。</w:t>
      </w:r>
    </w:p>
    <w:p w14:paraId="591292A4">
      <w:pPr>
        <w:autoSpaceDE w:val="0"/>
        <w:autoSpaceDN w:val="0"/>
        <w:adjustRightIn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五、废标情形</w:t>
      </w:r>
    </w:p>
    <w:p w14:paraId="2D9DD85A">
      <w:pPr>
        <w:pStyle w:val="19"/>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（一）</w:t>
      </w:r>
      <w:r>
        <w:rPr>
          <w:rFonts w:cs="宋体"/>
          <w:highlight w:val="none"/>
        </w:rPr>
        <w:t>出现影响采购公正的违法、违规行为的；</w:t>
      </w:r>
    </w:p>
    <w:p w14:paraId="4FF9ECFC">
      <w:pPr>
        <w:pStyle w:val="19"/>
        <w:spacing w:before="0" w:beforeAutospacing="0" w:after="0" w:afterAutospacing="0" w:line="360" w:lineRule="auto"/>
        <w:ind w:firstLine="480" w:firstLineChars="200"/>
        <w:jc w:val="both"/>
        <w:rPr>
          <w:rFonts w:hint="default" w:cs="宋体"/>
          <w:b/>
          <w:bCs/>
          <w:highlight w:val="none"/>
        </w:rPr>
      </w:pPr>
      <w:r>
        <w:rPr>
          <w:rFonts w:asciiTheme="minorEastAsia" w:hAnsiTheme="minorEastAsia" w:eastAsiaTheme="minorEastAsia"/>
          <w:highlight w:val="none"/>
        </w:rPr>
        <w:t>（二）</w:t>
      </w:r>
      <w:r>
        <w:rPr>
          <w:rFonts w:cs="宋体"/>
          <w:highlight w:val="none"/>
        </w:rPr>
        <w:t>评标委员会发现招标文件存在歧义、重大缺陷导致评标工作无法进行，或者招标文件内容违反国家有关强制性规定的；</w:t>
      </w:r>
    </w:p>
    <w:p w14:paraId="18E8D512">
      <w:pPr>
        <w:pStyle w:val="19"/>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（三）</w:t>
      </w:r>
      <w:r>
        <w:rPr>
          <w:rFonts w:cs="宋体"/>
          <w:highlight w:val="none"/>
        </w:rPr>
        <w:t>因重大变故，采购任务取消的；</w:t>
      </w:r>
    </w:p>
    <w:p w14:paraId="148EFBA4">
      <w:pPr>
        <w:pStyle w:val="19"/>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（四）</w:t>
      </w:r>
      <w:r>
        <w:rPr>
          <w:rFonts w:cs="宋体"/>
          <w:highlight w:val="none"/>
        </w:rPr>
        <w:t>法律、法规和招标文件规定的其他导致评标结果无效的。</w:t>
      </w:r>
    </w:p>
    <w:p w14:paraId="16F5D643">
      <w:pPr>
        <w:pStyle w:val="11"/>
        <w:snapToGrid w:val="0"/>
        <w:spacing w:line="360" w:lineRule="auto"/>
        <w:ind w:firstLine="482" w:firstLineChars="200"/>
        <w:rPr>
          <w:rFonts w:hAnsi="宋体" w:cs="宋体"/>
          <w:b/>
          <w:sz w:val="24"/>
          <w:highlight w:val="none"/>
        </w:rPr>
      </w:pPr>
      <w:r>
        <w:rPr>
          <w:rFonts w:hint="eastAsia" w:hAnsi="宋体" w:cs="宋体"/>
          <w:b/>
          <w:sz w:val="24"/>
          <w:highlight w:val="none"/>
        </w:rPr>
        <w:t>六、评标过程的监控</w:t>
      </w:r>
    </w:p>
    <w:p w14:paraId="7314C558">
      <w:pPr>
        <w:pStyle w:val="19"/>
        <w:spacing w:before="0" w:beforeAutospacing="0" w:after="0" w:afterAutospacing="0" w:line="360" w:lineRule="auto"/>
        <w:ind w:firstLine="480" w:firstLineChars="200"/>
        <w:jc w:val="both"/>
        <w:rPr>
          <w:rFonts w:hint="default" w:cs="宋体"/>
          <w:highlight w:val="none"/>
        </w:rPr>
      </w:pPr>
      <w:r>
        <w:rPr>
          <w:rFonts w:cs="宋体"/>
          <w:highlight w:val="none"/>
        </w:rPr>
        <w:t>本项目评标过程实行全程录音、录像监控，采购人视情进行现场监督，投标人在评标过程中所进行的试图影响评标结果的不公正活动，可能导致其投标被拒绝。</w:t>
      </w:r>
    </w:p>
    <w:p w14:paraId="5475D55B">
      <w:pPr>
        <w:pStyle w:val="11"/>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bCs/>
          <w:sz w:val="24"/>
          <w:highlight w:val="none"/>
        </w:rPr>
        <w:t>七、</w:t>
      </w:r>
      <w:r>
        <w:rPr>
          <w:rFonts w:asciiTheme="minorEastAsia" w:hAnsiTheme="minorEastAsia" w:eastAsiaTheme="minorEastAsia"/>
          <w:b/>
          <w:bCs/>
          <w:sz w:val="24"/>
          <w:highlight w:val="none"/>
        </w:rPr>
        <w:t>评标程序</w:t>
      </w:r>
    </w:p>
    <w:p w14:paraId="3DCC3042">
      <w:pPr>
        <w:snapToGrid w:val="0"/>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（一）资格</w:t>
      </w:r>
      <w:r>
        <w:rPr>
          <w:rFonts w:asciiTheme="minorEastAsia" w:hAnsiTheme="minorEastAsia" w:eastAsiaTheme="minorEastAsia"/>
          <w:b/>
          <w:bCs/>
          <w:sz w:val="24"/>
          <w:highlight w:val="none"/>
        </w:rPr>
        <w:t>审查</w:t>
      </w:r>
    </w:p>
    <w:p w14:paraId="64E7824E">
      <w:pPr>
        <w:pStyle w:val="7"/>
        <w:spacing w:line="360" w:lineRule="auto"/>
        <w:ind w:firstLine="480" w:firstLineChars="200"/>
        <w:jc w:val="both"/>
        <w:rPr>
          <w:rFonts w:asciiTheme="minorEastAsia" w:hAnsiTheme="minorEastAsia" w:eastAsiaTheme="minorEastAsia"/>
          <w:sz w:val="24"/>
          <w:highlight w:val="none"/>
        </w:rPr>
      </w:pPr>
      <w:r>
        <w:rPr>
          <w:rFonts w:hint="eastAsia" w:ascii="宋体" w:hAnsi="宋体" w:cs="宋体"/>
          <w:sz w:val="24"/>
          <w:highlight w:val="none"/>
        </w:rPr>
        <w:t>投标文件解密后</w:t>
      </w:r>
      <w:r>
        <w:rPr>
          <w:rFonts w:asciiTheme="minorEastAsia" w:hAnsiTheme="minorEastAsia" w:eastAsiaTheme="minorEastAsia"/>
          <w:sz w:val="24"/>
          <w:highlight w:val="none"/>
        </w:rPr>
        <w:t>，采购人或采购组织机构依法对投标人的资格进行审查，对审查发现无效的进行必要的</w:t>
      </w:r>
      <w:r>
        <w:rPr>
          <w:rFonts w:hint="eastAsia" w:ascii="宋体" w:hAnsi="宋体" w:cs="宋体"/>
          <w:sz w:val="24"/>
          <w:highlight w:val="none"/>
        </w:rPr>
        <w:t>询问</w:t>
      </w:r>
      <w:r>
        <w:rPr>
          <w:rFonts w:asciiTheme="minorEastAsia" w:hAnsiTheme="minorEastAsia" w:eastAsiaTheme="minorEastAsia"/>
          <w:sz w:val="24"/>
          <w:highlight w:val="none"/>
        </w:rPr>
        <w:t>，</w:t>
      </w:r>
      <w:r>
        <w:rPr>
          <w:rFonts w:hint="eastAsia"/>
          <w:sz w:val="24"/>
          <w:highlight w:val="none"/>
        </w:rPr>
        <w:t>在台州市智慧招采云平台平台公布</w:t>
      </w:r>
      <w:r>
        <w:rPr>
          <w:rFonts w:asciiTheme="minorEastAsia" w:hAnsiTheme="minorEastAsia" w:eastAsiaTheme="minorEastAsia"/>
          <w:sz w:val="24"/>
          <w:highlight w:val="none"/>
        </w:rPr>
        <w:t>无效投标的投标人名单、投标无效的原因。</w:t>
      </w:r>
    </w:p>
    <w:tbl>
      <w:tblPr>
        <w:tblStyle w:val="24"/>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23DA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4F85B732">
            <w:pPr>
              <w:pStyle w:val="54"/>
              <w:spacing w:before="1" w:line="360" w:lineRule="auto"/>
              <w:ind w:right="3" w:hanging="10"/>
              <w:jc w:val="center"/>
              <w:rPr>
                <w:szCs w:val="21"/>
                <w:highlight w:val="none"/>
              </w:rPr>
            </w:pPr>
            <w:r>
              <w:rPr>
                <w:rFonts w:hint="eastAsia"/>
                <w:szCs w:val="21"/>
                <w:highlight w:val="none"/>
              </w:rPr>
              <w:t>具有独立承担民事责任的能力</w:t>
            </w:r>
          </w:p>
        </w:tc>
        <w:tc>
          <w:tcPr>
            <w:tcW w:w="7092" w:type="dxa"/>
            <w:tcMar>
              <w:top w:w="57" w:type="dxa"/>
              <w:left w:w="108" w:type="dxa"/>
              <w:bottom w:w="0" w:type="dxa"/>
              <w:right w:w="108" w:type="dxa"/>
            </w:tcMar>
            <w:vAlign w:val="center"/>
          </w:tcPr>
          <w:p w14:paraId="7E1BA8E4">
            <w:pPr>
              <w:pStyle w:val="54"/>
              <w:spacing w:line="360" w:lineRule="auto"/>
              <w:ind w:left="15" w:leftChars="7" w:right="-17" w:rightChars="-8" w:firstLine="403" w:firstLineChars="192"/>
              <w:rPr>
                <w:szCs w:val="21"/>
                <w:highlight w:val="none"/>
              </w:rPr>
            </w:pPr>
            <w:r>
              <w:rPr>
                <w:rFonts w:hint="eastAsia"/>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14:paraId="0546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51CCB8DF">
            <w:pPr>
              <w:pStyle w:val="54"/>
              <w:spacing w:before="1" w:line="360" w:lineRule="auto"/>
              <w:ind w:right="3" w:hanging="10"/>
              <w:jc w:val="center"/>
              <w:rPr>
                <w:szCs w:val="21"/>
                <w:highlight w:val="none"/>
              </w:rPr>
            </w:pPr>
            <w:r>
              <w:rPr>
                <w:rFonts w:hint="eastAsia"/>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44191E9B">
            <w:pPr>
              <w:pStyle w:val="54"/>
              <w:spacing w:line="360" w:lineRule="auto"/>
              <w:ind w:left="15" w:leftChars="7" w:right="-17" w:rightChars="-8" w:firstLine="403" w:firstLineChars="192"/>
              <w:rPr>
                <w:szCs w:val="21"/>
                <w:highlight w:val="none"/>
              </w:rPr>
            </w:pPr>
            <w:r>
              <w:rPr>
                <w:rFonts w:hint="eastAsia"/>
                <w:szCs w:val="21"/>
                <w:highlight w:val="none"/>
              </w:rPr>
              <w:t>提供具有依法缴纳税收和社会保障资金证明的承诺函。</w:t>
            </w:r>
          </w:p>
        </w:tc>
      </w:tr>
      <w:tr w14:paraId="782F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2199C5A5">
            <w:pPr>
              <w:pStyle w:val="54"/>
              <w:spacing w:before="1" w:line="360" w:lineRule="auto"/>
              <w:ind w:right="3" w:hanging="10"/>
              <w:jc w:val="center"/>
              <w:rPr>
                <w:szCs w:val="21"/>
                <w:highlight w:val="none"/>
              </w:rPr>
            </w:pPr>
            <w:r>
              <w:rPr>
                <w:rFonts w:hint="eastAsia"/>
                <w:szCs w:val="21"/>
                <w:highlight w:val="none"/>
              </w:rPr>
              <w:t>具有良好的商业信誉和健全的财务会计制度</w:t>
            </w:r>
          </w:p>
        </w:tc>
        <w:tc>
          <w:tcPr>
            <w:tcW w:w="7092" w:type="dxa"/>
            <w:tcMar>
              <w:top w:w="57" w:type="dxa"/>
              <w:left w:w="108" w:type="dxa"/>
              <w:bottom w:w="0" w:type="dxa"/>
              <w:right w:w="108" w:type="dxa"/>
            </w:tcMar>
            <w:vAlign w:val="center"/>
          </w:tcPr>
          <w:p w14:paraId="0C88EB8E">
            <w:pPr>
              <w:pStyle w:val="54"/>
              <w:spacing w:line="360" w:lineRule="auto"/>
              <w:ind w:left="15" w:leftChars="7" w:right="-17" w:rightChars="-8" w:firstLine="403" w:firstLineChars="192"/>
              <w:rPr>
                <w:szCs w:val="21"/>
                <w:highlight w:val="none"/>
              </w:rPr>
            </w:pPr>
            <w:r>
              <w:rPr>
                <w:rFonts w:hint="eastAsia"/>
                <w:szCs w:val="21"/>
                <w:highlight w:val="none"/>
              </w:rPr>
              <w:t>提供具有良好的商业信誉和健全的财务会计制度的承诺函。</w:t>
            </w:r>
          </w:p>
        </w:tc>
      </w:tr>
      <w:tr w14:paraId="1735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48AEF74C">
            <w:pPr>
              <w:pStyle w:val="54"/>
              <w:spacing w:before="1" w:line="360" w:lineRule="auto"/>
              <w:ind w:right="3" w:hanging="10"/>
              <w:jc w:val="center"/>
              <w:rPr>
                <w:szCs w:val="21"/>
                <w:highlight w:val="none"/>
              </w:rPr>
            </w:pPr>
            <w:r>
              <w:rPr>
                <w:rFonts w:hint="eastAsia"/>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14:paraId="056AF43F">
            <w:pPr>
              <w:pStyle w:val="54"/>
              <w:spacing w:line="360" w:lineRule="auto"/>
              <w:ind w:left="15" w:leftChars="7" w:right="-17" w:rightChars="-8" w:firstLine="403" w:firstLineChars="192"/>
              <w:rPr>
                <w:szCs w:val="21"/>
                <w:highlight w:val="none"/>
              </w:rPr>
            </w:pPr>
            <w:r>
              <w:rPr>
                <w:rFonts w:hint="eastAsia"/>
                <w:szCs w:val="21"/>
                <w:highlight w:val="none"/>
              </w:rPr>
              <w:t>提供具有履行合同所必须的设备和专业技术能力的承诺函。</w:t>
            </w:r>
          </w:p>
        </w:tc>
      </w:tr>
      <w:tr w14:paraId="6679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739C8A78">
            <w:pPr>
              <w:pStyle w:val="54"/>
              <w:spacing w:line="360" w:lineRule="auto"/>
              <w:ind w:right="3" w:hanging="10"/>
              <w:jc w:val="center"/>
              <w:rPr>
                <w:szCs w:val="21"/>
                <w:highlight w:val="none"/>
              </w:rPr>
            </w:pPr>
            <w:r>
              <w:rPr>
                <w:rFonts w:hint="eastAsia"/>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14:paraId="2B95EDF1">
            <w:pPr>
              <w:pStyle w:val="54"/>
              <w:spacing w:line="360" w:lineRule="auto"/>
              <w:ind w:left="15" w:leftChars="7" w:right="-17" w:rightChars="-8" w:firstLine="403" w:firstLineChars="192"/>
              <w:rPr>
                <w:szCs w:val="21"/>
                <w:highlight w:val="none"/>
              </w:rPr>
            </w:pPr>
            <w:r>
              <w:rPr>
                <w:rFonts w:hint="eastAsia"/>
                <w:szCs w:val="21"/>
                <w:highlight w:val="none"/>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78DB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6FAAC9FB">
            <w:pPr>
              <w:pStyle w:val="54"/>
              <w:spacing w:line="360" w:lineRule="auto"/>
              <w:ind w:right="3" w:hanging="10"/>
              <w:jc w:val="center"/>
              <w:rPr>
                <w:szCs w:val="21"/>
                <w:highlight w:val="none"/>
              </w:rPr>
            </w:pPr>
            <w:r>
              <w:rPr>
                <w:rFonts w:hint="eastAsia"/>
                <w:szCs w:val="21"/>
                <w:highlight w:val="none"/>
              </w:rPr>
              <w:t>信用记录</w:t>
            </w:r>
          </w:p>
        </w:tc>
        <w:tc>
          <w:tcPr>
            <w:tcW w:w="7092" w:type="dxa"/>
            <w:shd w:val="clear" w:color="auto" w:fill="F6F6F6"/>
            <w:tcMar>
              <w:top w:w="57" w:type="dxa"/>
              <w:left w:w="108" w:type="dxa"/>
              <w:bottom w:w="0" w:type="dxa"/>
              <w:right w:w="108" w:type="dxa"/>
            </w:tcMar>
            <w:vAlign w:val="center"/>
          </w:tcPr>
          <w:p w14:paraId="7B0D67E2">
            <w:pPr>
              <w:spacing w:line="36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1.截止时点：开标后评标前。</w:t>
            </w:r>
          </w:p>
          <w:p w14:paraId="1FCA7169">
            <w:pPr>
              <w:spacing w:line="360" w:lineRule="auto"/>
              <w:ind w:left="15" w:leftChars="7" w:right="-17" w:rightChars="-8" w:firstLine="403" w:firstLineChars="192"/>
              <w:rPr>
                <w:rFonts w:ascii="宋体" w:hAnsi="宋体" w:cs="宋体"/>
                <w:highlight w:val="none"/>
              </w:rPr>
            </w:pPr>
            <w:r>
              <w:rPr>
                <w:rFonts w:hint="eastAsia" w:ascii="宋体" w:hAnsi="宋体" w:cs="宋体"/>
                <w:highlight w:val="none"/>
              </w:rPr>
              <w:t>2.信用信息查询记录和证据留存的具体方式：由采购组织机构在规定查询时间内打印信用信息查询记录并归入项目档案。</w:t>
            </w:r>
          </w:p>
          <w:p w14:paraId="320CB0BE">
            <w:pPr>
              <w:spacing w:line="36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3.使用规则：投标人未被列入“信用中国”失信被执行人或重大税收违法案件当事人名单；未处于“中国政府采购网”政府采购严重违法失信行为信息记录中的禁止参加政府采购活动期间。</w:t>
            </w:r>
          </w:p>
        </w:tc>
      </w:tr>
      <w:tr w14:paraId="5DBB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2D48643C">
            <w:pPr>
              <w:pStyle w:val="54"/>
              <w:spacing w:line="360" w:lineRule="auto"/>
              <w:ind w:right="3" w:hanging="10"/>
              <w:jc w:val="center"/>
              <w:rPr>
                <w:szCs w:val="21"/>
                <w:highlight w:val="none"/>
              </w:rPr>
            </w:pPr>
            <w:r>
              <w:rPr>
                <w:rFonts w:hint="eastAsia"/>
                <w:szCs w:val="21"/>
                <w:highlight w:val="none"/>
              </w:rPr>
              <w:t>必须符合法律、行政法规规定的其他条件</w:t>
            </w:r>
          </w:p>
        </w:tc>
        <w:tc>
          <w:tcPr>
            <w:tcW w:w="7092" w:type="dxa"/>
            <w:tcMar>
              <w:top w:w="57" w:type="dxa"/>
              <w:left w:w="108" w:type="dxa"/>
              <w:bottom w:w="0" w:type="dxa"/>
              <w:right w:w="108" w:type="dxa"/>
            </w:tcMar>
            <w:vAlign w:val="center"/>
          </w:tcPr>
          <w:p w14:paraId="211B0C71">
            <w:pPr>
              <w:pStyle w:val="54"/>
              <w:spacing w:before="48" w:line="360" w:lineRule="auto"/>
              <w:ind w:left="15" w:leftChars="7" w:right="-17" w:rightChars="-8" w:firstLine="403" w:firstLineChars="192"/>
              <w:rPr>
                <w:szCs w:val="21"/>
                <w:highlight w:val="none"/>
              </w:rPr>
            </w:pPr>
            <w:r>
              <w:rPr>
                <w:rFonts w:hint="eastAsia"/>
                <w:szCs w:val="21"/>
                <w:highlight w:val="none"/>
              </w:rPr>
              <w:t>1.机构负责人为同一人或者存在直接控股、管理关系的不同供应商，不得同时参加本项目投标。</w:t>
            </w:r>
          </w:p>
          <w:p w14:paraId="6A4B8986">
            <w:pPr>
              <w:pStyle w:val="54"/>
              <w:spacing w:before="48" w:line="360" w:lineRule="auto"/>
              <w:ind w:left="15" w:leftChars="7" w:right="-17" w:rightChars="-8" w:firstLine="403" w:firstLineChars="192"/>
              <w:rPr>
                <w:szCs w:val="21"/>
                <w:highlight w:val="none"/>
              </w:rPr>
            </w:pPr>
            <w:r>
              <w:rPr>
                <w:rFonts w:hint="eastAsia"/>
                <w:szCs w:val="21"/>
                <w:highlight w:val="none"/>
              </w:rPr>
              <w:t>2.投标（报价）文件相关承诺要求内容。</w:t>
            </w:r>
          </w:p>
        </w:tc>
      </w:tr>
      <w:tr w14:paraId="183B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1EC86321">
            <w:pPr>
              <w:pStyle w:val="54"/>
              <w:spacing w:before="48" w:line="360" w:lineRule="auto"/>
              <w:ind w:right="3" w:hanging="10"/>
              <w:jc w:val="center"/>
              <w:rPr>
                <w:szCs w:val="21"/>
                <w:highlight w:val="none"/>
              </w:rPr>
            </w:pPr>
            <w:r>
              <w:rPr>
                <w:rFonts w:hint="eastAsia"/>
                <w:szCs w:val="21"/>
                <w:highlight w:val="none"/>
              </w:rPr>
              <w:t>联合体投标</w:t>
            </w:r>
          </w:p>
        </w:tc>
        <w:tc>
          <w:tcPr>
            <w:tcW w:w="7092" w:type="dxa"/>
            <w:shd w:val="clear" w:color="auto" w:fill="F6F6F6"/>
            <w:tcMar>
              <w:top w:w="57" w:type="dxa"/>
              <w:left w:w="108" w:type="dxa"/>
              <w:bottom w:w="0" w:type="dxa"/>
              <w:right w:w="108" w:type="dxa"/>
            </w:tcMar>
            <w:vAlign w:val="center"/>
          </w:tcPr>
          <w:p w14:paraId="6086D29A">
            <w:pPr>
              <w:pStyle w:val="54"/>
              <w:spacing w:before="48" w:line="360" w:lineRule="auto"/>
              <w:ind w:left="15" w:leftChars="7" w:right="-17" w:rightChars="-8" w:firstLine="403" w:firstLineChars="192"/>
              <w:rPr>
                <w:szCs w:val="21"/>
                <w:highlight w:val="none"/>
              </w:rPr>
            </w:pPr>
            <w:r>
              <w:rPr>
                <w:rFonts w:hint="eastAsia"/>
                <w:szCs w:val="21"/>
                <w:highlight w:val="none"/>
              </w:rPr>
              <w:t>本项目不接受联合体投标。</w:t>
            </w:r>
          </w:p>
        </w:tc>
      </w:tr>
      <w:tr w14:paraId="0CD9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65A1D085">
            <w:pPr>
              <w:pStyle w:val="54"/>
              <w:spacing w:line="360" w:lineRule="auto"/>
              <w:ind w:right="3" w:hanging="10"/>
              <w:jc w:val="center"/>
              <w:rPr>
                <w:szCs w:val="21"/>
                <w:highlight w:val="none"/>
              </w:rPr>
            </w:pPr>
            <w:r>
              <w:rPr>
                <w:rFonts w:hint="eastAsia"/>
                <w:szCs w:val="21"/>
                <w:highlight w:val="none"/>
              </w:rPr>
              <w:t>资质</w:t>
            </w:r>
          </w:p>
        </w:tc>
        <w:tc>
          <w:tcPr>
            <w:tcW w:w="7092" w:type="dxa"/>
            <w:tcMar>
              <w:top w:w="57" w:type="dxa"/>
              <w:left w:w="108" w:type="dxa"/>
              <w:bottom w:w="0" w:type="dxa"/>
              <w:right w:w="108" w:type="dxa"/>
            </w:tcMar>
            <w:vAlign w:val="center"/>
          </w:tcPr>
          <w:p w14:paraId="1D0DE5D2">
            <w:pPr>
              <w:pStyle w:val="54"/>
              <w:spacing w:before="48" w:line="360" w:lineRule="auto"/>
              <w:ind w:left="15" w:leftChars="7" w:right="-17" w:rightChars="-8" w:firstLine="403" w:firstLineChars="192"/>
              <w:rPr>
                <w:szCs w:val="21"/>
                <w:highlight w:val="none"/>
              </w:rPr>
            </w:pPr>
            <w:r>
              <w:rPr>
                <w:rFonts w:hint="eastAsia"/>
                <w:szCs w:val="21"/>
                <w:highlight w:val="none"/>
              </w:rPr>
              <w:t>无</w:t>
            </w:r>
          </w:p>
        </w:tc>
      </w:tr>
      <w:tr w14:paraId="4E26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3F49B2C4">
            <w:pPr>
              <w:spacing w:line="360" w:lineRule="auto"/>
              <w:jc w:val="left"/>
              <w:rPr>
                <w:rFonts w:ascii="宋体" w:hAnsi="宋体" w:cs="宋体"/>
                <w:szCs w:val="21"/>
                <w:highlight w:val="none"/>
              </w:rPr>
            </w:pPr>
            <w:r>
              <w:rPr>
                <w:rFonts w:hint="eastAsia" w:ascii="宋体" w:hAnsi="宋体" w:cs="宋体"/>
                <w:szCs w:val="21"/>
                <w:highlight w:val="none"/>
              </w:rPr>
              <w:t>特定资格要求</w:t>
            </w:r>
          </w:p>
        </w:tc>
        <w:tc>
          <w:tcPr>
            <w:tcW w:w="7092" w:type="dxa"/>
            <w:shd w:val="clear" w:color="auto" w:fill="F6F6F6"/>
            <w:tcMar>
              <w:top w:w="57" w:type="dxa"/>
              <w:left w:w="108" w:type="dxa"/>
              <w:bottom w:w="0" w:type="dxa"/>
              <w:right w:w="108" w:type="dxa"/>
            </w:tcMar>
            <w:vAlign w:val="center"/>
          </w:tcPr>
          <w:p w14:paraId="69DB383E">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投标人应是在中华人民共和国境内注册的、经国家保险监督管理机构批准设立的企业法人或下属公司（总公司或下属公司中仅允许一家参与本项目投标。若下属公司参与投标，须提供上级公司针对本项目的授权书）</w:t>
            </w:r>
          </w:p>
          <w:p w14:paraId="77C08F7E">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2、投标人须经国家保险监督管理机构批准设立且持有《保险许可证》或《经营保险业务许可证》的全国性保险公司或其分支机构。</w:t>
            </w:r>
          </w:p>
        </w:tc>
      </w:tr>
    </w:tbl>
    <w:p w14:paraId="19CD9C64">
      <w:pPr>
        <w:pStyle w:val="7"/>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w:t>
      </w:r>
      <w:r>
        <w:rPr>
          <w:rFonts w:asciiTheme="minorEastAsia" w:hAnsiTheme="minorEastAsia" w:eastAsiaTheme="minorEastAsia"/>
          <w:b/>
          <w:bCs/>
          <w:sz w:val="24"/>
          <w:highlight w:val="none"/>
        </w:rPr>
        <w:t>符合性审查</w:t>
      </w:r>
    </w:p>
    <w:p w14:paraId="000E1320">
      <w:pPr>
        <w:pStyle w:val="7"/>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highlight w:val="none"/>
        </w:rPr>
        <w:t>询问</w:t>
      </w:r>
      <w:r>
        <w:rPr>
          <w:rFonts w:asciiTheme="minorEastAsia" w:hAnsiTheme="minorEastAsia" w:eastAsiaTheme="minorEastAsia"/>
          <w:sz w:val="24"/>
          <w:highlight w:val="none"/>
        </w:rPr>
        <w:t>，</w:t>
      </w:r>
      <w:r>
        <w:rPr>
          <w:rFonts w:hint="eastAsia" w:ascii="宋体" w:hAnsi="宋体" w:cs="宋体"/>
          <w:sz w:val="24"/>
          <w:highlight w:val="none"/>
        </w:rPr>
        <w:t>在台州市智慧招采云平台公布无效投标的投标人名单、投标无效的原因</w:t>
      </w:r>
      <w:r>
        <w:rPr>
          <w:rFonts w:hint="eastAsia" w:asciiTheme="minorEastAsia" w:hAnsiTheme="minorEastAsia" w:eastAsiaTheme="minorEastAsia"/>
          <w:sz w:val="24"/>
          <w:highlight w:val="none"/>
        </w:rPr>
        <w:t>。</w:t>
      </w:r>
    </w:p>
    <w:tbl>
      <w:tblPr>
        <w:tblStyle w:val="24"/>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5E07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57B5D255">
            <w:pPr>
              <w:pStyle w:val="54"/>
              <w:spacing w:line="360" w:lineRule="auto"/>
              <w:ind w:right="3" w:hanging="10"/>
              <w:jc w:val="center"/>
              <w:rPr>
                <w:szCs w:val="21"/>
                <w:highlight w:val="none"/>
              </w:rPr>
            </w:pPr>
            <w:r>
              <w:rPr>
                <w:rFonts w:hint="eastAsia"/>
                <w:szCs w:val="21"/>
                <w:highlight w:val="none"/>
              </w:rPr>
              <w:t>投标文件</w:t>
            </w:r>
          </w:p>
        </w:tc>
        <w:tc>
          <w:tcPr>
            <w:tcW w:w="7183" w:type="dxa"/>
            <w:tcMar>
              <w:top w:w="57" w:type="dxa"/>
              <w:left w:w="108" w:type="dxa"/>
              <w:bottom w:w="0" w:type="dxa"/>
              <w:right w:w="108" w:type="dxa"/>
            </w:tcMar>
            <w:vAlign w:val="center"/>
          </w:tcPr>
          <w:p w14:paraId="4B38778E">
            <w:pPr>
              <w:pStyle w:val="7"/>
              <w:spacing w:line="360" w:lineRule="auto"/>
              <w:ind w:left="15" w:leftChars="7" w:right="-17" w:rightChars="-8" w:firstLine="403" w:firstLineChars="192"/>
              <w:jc w:val="both"/>
              <w:rPr>
                <w:highlight w:val="none"/>
              </w:rPr>
            </w:pPr>
            <w:r>
              <w:rPr>
                <w:rFonts w:hint="eastAsia"/>
                <w:highlight w:val="none"/>
              </w:rPr>
              <w:t>投标文件完整且编排有序，投标内容基本完整，无重大错漏，并按要求签署、盖章。</w:t>
            </w:r>
          </w:p>
        </w:tc>
      </w:tr>
      <w:tr w14:paraId="1191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16D4CAB1">
            <w:pPr>
              <w:pStyle w:val="54"/>
              <w:spacing w:line="360" w:lineRule="auto"/>
              <w:ind w:right="3" w:hanging="10"/>
              <w:jc w:val="center"/>
              <w:rPr>
                <w:szCs w:val="21"/>
                <w:highlight w:val="none"/>
              </w:rPr>
            </w:pPr>
            <w:r>
              <w:rPr>
                <w:rFonts w:hint="eastAsia"/>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14:paraId="1724A92D">
            <w:pPr>
              <w:pStyle w:val="7"/>
              <w:spacing w:line="360" w:lineRule="auto"/>
              <w:ind w:left="15" w:leftChars="7" w:right="-17" w:rightChars="-8" w:firstLine="403" w:firstLineChars="192"/>
              <w:jc w:val="both"/>
              <w:rPr>
                <w:highlight w:val="none"/>
              </w:rPr>
            </w:pPr>
            <w:r>
              <w:rPr>
                <w:rFonts w:hint="eastAsia"/>
                <w:highlight w:val="none"/>
              </w:rPr>
              <w:t>法定代表人/负责人授权委托书，按对应格式文件签署、盖章。</w:t>
            </w:r>
          </w:p>
        </w:tc>
      </w:tr>
      <w:tr w14:paraId="18C8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6D6ABFF4">
            <w:pPr>
              <w:pStyle w:val="54"/>
              <w:spacing w:line="360" w:lineRule="auto"/>
              <w:ind w:right="3" w:hanging="10"/>
              <w:jc w:val="center"/>
              <w:rPr>
                <w:szCs w:val="21"/>
                <w:highlight w:val="none"/>
              </w:rPr>
            </w:pPr>
            <w:r>
              <w:rPr>
                <w:rFonts w:hint="eastAsia"/>
                <w:szCs w:val="21"/>
                <w:highlight w:val="none"/>
              </w:rPr>
              <w:t>“▲”实质性条款</w:t>
            </w:r>
          </w:p>
        </w:tc>
        <w:tc>
          <w:tcPr>
            <w:tcW w:w="7183" w:type="dxa"/>
            <w:tcMar>
              <w:top w:w="57" w:type="dxa"/>
              <w:left w:w="108" w:type="dxa"/>
              <w:bottom w:w="0" w:type="dxa"/>
              <w:right w:w="108" w:type="dxa"/>
            </w:tcMar>
            <w:vAlign w:val="center"/>
          </w:tcPr>
          <w:p w14:paraId="73AAE789">
            <w:pPr>
              <w:pStyle w:val="7"/>
              <w:spacing w:line="360" w:lineRule="auto"/>
              <w:ind w:left="15" w:leftChars="7" w:right="-17" w:rightChars="-8" w:firstLine="403" w:firstLineChars="192"/>
              <w:jc w:val="both"/>
              <w:rPr>
                <w:highlight w:val="none"/>
              </w:rPr>
            </w:pPr>
            <w:r>
              <w:rPr>
                <w:rFonts w:hint="eastAsia"/>
                <w:highlight w:val="none"/>
              </w:rPr>
              <w:t>“▲”实质性条款必须满足招标文件要求。</w:t>
            </w:r>
          </w:p>
        </w:tc>
      </w:tr>
      <w:tr w14:paraId="696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00AE4178">
            <w:pPr>
              <w:pStyle w:val="54"/>
              <w:spacing w:line="360" w:lineRule="auto"/>
              <w:ind w:right="3" w:hanging="10"/>
              <w:jc w:val="center"/>
              <w:rPr>
                <w:szCs w:val="21"/>
                <w:highlight w:val="none"/>
              </w:rPr>
            </w:pPr>
            <w:r>
              <w:rPr>
                <w:rFonts w:hint="eastAsia"/>
                <w:szCs w:val="21"/>
                <w:highlight w:val="none"/>
              </w:rPr>
              <w:t>串通投标</w:t>
            </w:r>
          </w:p>
        </w:tc>
        <w:tc>
          <w:tcPr>
            <w:tcW w:w="7183" w:type="dxa"/>
            <w:shd w:val="clear" w:color="auto" w:fill="F6F6F6"/>
            <w:tcMar>
              <w:top w:w="57" w:type="dxa"/>
              <w:left w:w="108" w:type="dxa"/>
              <w:bottom w:w="0" w:type="dxa"/>
              <w:right w:w="108" w:type="dxa"/>
            </w:tcMar>
            <w:vAlign w:val="center"/>
          </w:tcPr>
          <w:p w14:paraId="260C4FBB">
            <w:pPr>
              <w:pStyle w:val="7"/>
              <w:spacing w:line="360" w:lineRule="auto"/>
              <w:ind w:left="15" w:leftChars="7" w:right="-17" w:rightChars="-8" w:firstLine="403" w:firstLineChars="192"/>
              <w:jc w:val="both"/>
              <w:rPr>
                <w:highlight w:val="none"/>
              </w:rPr>
            </w:pPr>
            <w:r>
              <w:rPr>
                <w:rFonts w:hint="eastAsia"/>
                <w:highlight w:val="none"/>
              </w:rPr>
              <w:t>未出现财政部87号令《政府采购货物和服务招标投标管理办法》第三十七条规定的串通投标情形。</w:t>
            </w:r>
          </w:p>
        </w:tc>
      </w:tr>
      <w:tr w14:paraId="58AF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27995A78">
            <w:pPr>
              <w:pStyle w:val="54"/>
              <w:spacing w:line="360" w:lineRule="auto"/>
              <w:ind w:right="3" w:hanging="10"/>
              <w:jc w:val="center"/>
              <w:rPr>
                <w:szCs w:val="21"/>
                <w:highlight w:val="none"/>
              </w:rPr>
            </w:pPr>
            <w:r>
              <w:rPr>
                <w:rFonts w:hint="eastAsia"/>
                <w:szCs w:val="21"/>
                <w:highlight w:val="none"/>
              </w:rPr>
              <w:t>附加条件</w:t>
            </w:r>
          </w:p>
        </w:tc>
        <w:tc>
          <w:tcPr>
            <w:tcW w:w="7183" w:type="dxa"/>
            <w:tcMar>
              <w:top w:w="57" w:type="dxa"/>
              <w:left w:w="108" w:type="dxa"/>
              <w:bottom w:w="0" w:type="dxa"/>
              <w:right w:w="108" w:type="dxa"/>
            </w:tcMar>
            <w:vAlign w:val="center"/>
          </w:tcPr>
          <w:p w14:paraId="7DCFB8B7">
            <w:pPr>
              <w:pStyle w:val="7"/>
              <w:spacing w:line="360" w:lineRule="auto"/>
              <w:ind w:left="15" w:leftChars="7" w:right="-17" w:rightChars="-8" w:firstLine="403" w:firstLineChars="192"/>
              <w:jc w:val="both"/>
              <w:rPr>
                <w:highlight w:val="none"/>
              </w:rPr>
            </w:pPr>
            <w:r>
              <w:rPr>
                <w:rFonts w:hint="eastAsia"/>
                <w:highlight w:val="none"/>
              </w:rPr>
              <w:t>投标文件未含有采购人不可接受的附加条件。</w:t>
            </w:r>
          </w:p>
        </w:tc>
      </w:tr>
    </w:tbl>
    <w:p w14:paraId="15F2F603">
      <w:pPr>
        <w:pStyle w:val="19"/>
        <w:spacing w:before="0" w:beforeAutospacing="0" w:after="0" w:afterAutospacing="0" w:line="360" w:lineRule="auto"/>
        <w:ind w:firstLine="482" w:firstLineChars="200"/>
        <w:jc w:val="both"/>
        <w:rPr>
          <w:rFonts w:hint="default" w:asciiTheme="minorEastAsia" w:hAnsiTheme="minorEastAsia" w:eastAsiaTheme="minorEastAsia"/>
          <w:highlight w:val="none"/>
        </w:rPr>
      </w:pPr>
      <w:r>
        <w:rPr>
          <w:rFonts w:asciiTheme="minorEastAsia" w:hAnsiTheme="minorEastAsia" w:eastAsiaTheme="minorEastAsia"/>
          <w:b/>
          <w:bCs/>
          <w:highlight w:val="none"/>
        </w:rPr>
        <w:t>（三）</w:t>
      </w:r>
      <w:r>
        <w:rPr>
          <w:rFonts w:ascii="Arial" w:hAnsi="Arial" w:cs="Arial" w:eastAsiaTheme="minorEastAsia"/>
          <w:b/>
          <w:bCs/>
          <w:highlight w:val="none"/>
        </w:rPr>
        <w:t>资信技术及价格评审</w:t>
      </w:r>
    </w:p>
    <w:p w14:paraId="72AEC16C">
      <w:pPr>
        <w:autoSpaceDE w:val="0"/>
        <w:autoSpaceDN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lang w:val="zh-CN"/>
        </w:rPr>
        <w:t>本项目的评标方法为综合评分法，总计100分，其中商务技术</w:t>
      </w:r>
      <w:r>
        <w:rPr>
          <w:rFonts w:hint="eastAsia" w:asciiTheme="minorEastAsia" w:hAnsiTheme="minorEastAsia" w:eastAsiaTheme="minorEastAsia"/>
          <w:kern w:val="0"/>
          <w:sz w:val="24"/>
          <w:highlight w:val="none"/>
        </w:rPr>
        <w:t>70</w:t>
      </w:r>
      <w:r>
        <w:rPr>
          <w:rFonts w:hint="eastAsia" w:asciiTheme="minorEastAsia" w:hAnsiTheme="minorEastAsia" w:eastAsiaTheme="minorEastAsia"/>
          <w:kern w:val="0"/>
          <w:sz w:val="24"/>
          <w:highlight w:val="none"/>
          <w:lang w:val="zh-CN"/>
        </w:rPr>
        <w:t>分，报价</w:t>
      </w:r>
      <w:r>
        <w:rPr>
          <w:rFonts w:hint="eastAsia" w:asciiTheme="minorEastAsia" w:hAnsiTheme="minorEastAsia" w:eastAsiaTheme="minorEastAsia"/>
          <w:kern w:val="0"/>
          <w:sz w:val="24"/>
          <w:highlight w:val="none"/>
        </w:rPr>
        <w:t>30</w:t>
      </w:r>
      <w:r>
        <w:rPr>
          <w:rFonts w:hint="eastAsia" w:asciiTheme="minorEastAsia" w:hAnsiTheme="minorEastAsia" w:eastAsiaTheme="minorEastAsia"/>
          <w:kern w:val="0"/>
          <w:sz w:val="24"/>
          <w:highlight w:val="none"/>
          <w:lang w:val="zh-CN"/>
        </w:rPr>
        <w:t>分，</w:t>
      </w:r>
      <w:r>
        <w:rPr>
          <w:rFonts w:hint="eastAsia" w:asciiTheme="minorEastAsia" w:hAnsiTheme="minorEastAsia" w:eastAsiaTheme="minorEastAsia"/>
          <w:kern w:val="0"/>
          <w:sz w:val="24"/>
          <w:highlight w:val="none"/>
        </w:rPr>
        <w:t>评标按以下标准及要求进行：</w:t>
      </w:r>
    </w:p>
    <w:p w14:paraId="76EE8E4D">
      <w:pPr>
        <w:numPr>
          <w:ilvl w:val="0"/>
          <w:numId w:val="11"/>
        </w:numPr>
        <w:autoSpaceDE w:val="0"/>
        <w:autoSpaceDN w:val="0"/>
        <w:adjustRightInd w:val="0"/>
        <w:spacing w:line="360" w:lineRule="auto"/>
        <w:ind w:right="85" w:firstLine="482" w:firstLineChars="200"/>
        <w:rPr>
          <w:highlight w:val="none"/>
        </w:rPr>
      </w:pPr>
      <w:r>
        <w:rPr>
          <w:rFonts w:hint="eastAsia" w:ascii="宋体"/>
          <w:b/>
          <w:bCs/>
          <w:sz w:val="24"/>
          <w:highlight w:val="none"/>
        </w:rPr>
        <w:t>评分标准</w:t>
      </w:r>
    </w:p>
    <w:tbl>
      <w:tblPr>
        <w:tblStyle w:val="24"/>
        <w:tblW w:w="8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617"/>
        <w:gridCol w:w="825"/>
        <w:gridCol w:w="5138"/>
      </w:tblGrid>
      <w:tr w14:paraId="3D40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4" w:type="dxa"/>
            <w:tcBorders>
              <w:tl2br w:val="nil"/>
              <w:tr2bl w:val="nil"/>
            </w:tcBorders>
            <w:vAlign w:val="center"/>
          </w:tcPr>
          <w:p w14:paraId="2A0B29A9">
            <w:pPr>
              <w:widowControl/>
              <w:jc w:val="left"/>
              <w:rPr>
                <w:rFonts w:ascii="宋体" w:hAnsi="宋体" w:cs="宋体"/>
                <w:kern w:val="0"/>
                <w:sz w:val="24"/>
                <w:highlight w:val="none"/>
              </w:rPr>
            </w:pPr>
            <w:r>
              <w:rPr>
                <w:rFonts w:hint="eastAsia" w:ascii="宋体" w:hAnsi="宋体" w:cs="宋体"/>
                <w:kern w:val="0"/>
                <w:sz w:val="24"/>
                <w:highlight w:val="none"/>
              </w:rPr>
              <w:t>序号</w:t>
            </w:r>
          </w:p>
        </w:tc>
        <w:tc>
          <w:tcPr>
            <w:tcW w:w="1617" w:type="dxa"/>
            <w:tcBorders>
              <w:tl2br w:val="nil"/>
              <w:tr2bl w:val="nil"/>
            </w:tcBorders>
            <w:vAlign w:val="center"/>
          </w:tcPr>
          <w:p w14:paraId="3B0302EA">
            <w:pPr>
              <w:widowControl/>
              <w:jc w:val="left"/>
              <w:rPr>
                <w:rFonts w:ascii="宋体" w:hAnsi="宋体" w:cs="宋体"/>
                <w:kern w:val="0"/>
                <w:sz w:val="24"/>
                <w:highlight w:val="none"/>
              </w:rPr>
            </w:pPr>
            <w:r>
              <w:rPr>
                <w:rFonts w:hint="eastAsia" w:ascii="宋体" w:hAnsi="宋体" w:cs="宋体"/>
                <w:kern w:val="0"/>
                <w:sz w:val="24"/>
                <w:highlight w:val="none"/>
              </w:rPr>
              <w:t>评审项目</w:t>
            </w:r>
          </w:p>
        </w:tc>
        <w:tc>
          <w:tcPr>
            <w:tcW w:w="825" w:type="dxa"/>
            <w:tcBorders>
              <w:tl2br w:val="nil"/>
              <w:tr2bl w:val="nil"/>
            </w:tcBorders>
            <w:vAlign w:val="center"/>
          </w:tcPr>
          <w:p w14:paraId="20B37541">
            <w:pPr>
              <w:widowControl/>
              <w:jc w:val="left"/>
              <w:rPr>
                <w:rFonts w:ascii="宋体" w:hAnsi="宋体" w:cs="宋体"/>
                <w:kern w:val="0"/>
                <w:sz w:val="24"/>
                <w:highlight w:val="none"/>
              </w:rPr>
            </w:pPr>
            <w:r>
              <w:rPr>
                <w:rFonts w:hint="eastAsia" w:ascii="宋体" w:hAnsi="宋体" w:cs="宋体"/>
                <w:kern w:val="0"/>
                <w:sz w:val="24"/>
                <w:highlight w:val="none"/>
              </w:rPr>
              <w:t>分值</w:t>
            </w:r>
          </w:p>
        </w:tc>
        <w:tc>
          <w:tcPr>
            <w:tcW w:w="5138" w:type="dxa"/>
            <w:tcBorders>
              <w:tl2br w:val="nil"/>
              <w:tr2bl w:val="nil"/>
            </w:tcBorders>
            <w:vAlign w:val="center"/>
          </w:tcPr>
          <w:p w14:paraId="4A93AC57">
            <w:pPr>
              <w:widowControl/>
              <w:jc w:val="left"/>
              <w:rPr>
                <w:rFonts w:ascii="宋体" w:hAnsi="宋体" w:cs="宋体"/>
                <w:kern w:val="0"/>
                <w:sz w:val="24"/>
                <w:highlight w:val="none"/>
              </w:rPr>
            </w:pPr>
            <w:r>
              <w:rPr>
                <w:rFonts w:hint="eastAsia" w:ascii="宋体" w:hAnsi="宋体" w:cs="宋体"/>
                <w:kern w:val="0"/>
                <w:sz w:val="24"/>
                <w:highlight w:val="none"/>
              </w:rPr>
              <w:t>评分标准</w:t>
            </w:r>
          </w:p>
        </w:tc>
      </w:tr>
      <w:tr w14:paraId="2F42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4" w:type="dxa"/>
            <w:tcBorders>
              <w:tl2br w:val="nil"/>
              <w:tr2bl w:val="nil"/>
            </w:tcBorders>
            <w:vAlign w:val="center"/>
          </w:tcPr>
          <w:p w14:paraId="13D6234C">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1617" w:type="dxa"/>
            <w:tcBorders>
              <w:tl2br w:val="nil"/>
              <w:tr2bl w:val="nil"/>
            </w:tcBorders>
            <w:vAlign w:val="center"/>
          </w:tcPr>
          <w:p w14:paraId="5E3D1EA6">
            <w:pPr>
              <w:widowControl/>
              <w:jc w:val="center"/>
              <w:rPr>
                <w:rFonts w:ascii="宋体" w:hAnsi="宋体" w:cs="宋体"/>
                <w:kern w:val="0"/>
                <w:sz w:val="24"/>
                <w:highlight w:val="none"/>
              </w:rPr>
            </w:pPr>
            <w:r>
              <w:rPr>
                <w:rFonts w:hint="eastAsia" w:ascii="宋体" w:hAnsi="宋体" w:cs="宋体"/>
                <w:kern w:val="0"/>
                <w:szCs w:val="21"/>
                <w:highlight w:val="none"/>
              </w:rPr>
              <w:t>市场份额占比</w:t>
            </w:r>
          </w:p>
        </w:tc>
        <w:tc>
          <w:tcPr>
            <w:tcW w:w="825" w:type="dxa"/>
            <w:tcBorders>
              <w:tl2br w:val="nil"/>
              <w:tr2bl w:val="nil"/>
            </w:tcBorders>
            <w:vAlign w:val="center"/>
          </w:tcPr>
          <w:p w14:paraId="79EBF899">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vAlign w:val="center"/>
          </w:tcPr>
          <w:p w14:paraId="24C375DF">
            <w:pPr>
              <w:widowControl/>
              <w:jc w:val="left"/>
              <w:rPr>
                <w:rFonts w:ascii="宋体" w:hAnsi="宋体" w:cs="宋体"/>
                <w:kern w:val="0"/>
                <w:sz w:val="24"/>
                <w:highlight w:val="none"/>
              </w:rPr>
            </w:pPr>
            <w:r>
              <w:rPr>
                <w:rFonts w:hint="eastAsia" w:ascii="宋体" w:hAnsi="宋体" w:cs="宋体"/>
                <w:kern w:val="0"/>
                <w:szCs w:val="21"/>
                <w:highlight w:val="none"/>
              </w:rPr>
              <w:t>财产保险市场份额占比≥15%，得6分，15%＞财产保险市场份额占比≥10%，得4分，低于10%，得2分。</w:t>
            </w:r>
            <w:r>
              <w:rPr>
                <w:rFonts w:hint="eastAsia" w:ascii="宋体" w:hAnsi="宋体" w:cs="宋体"/>
                <w:b/>
                <w:bCs/>
                <w:kern w:val="0"/>
                <w:szCs w:val="21"/>
                <w:highlight w:val="none"/>
              </w:rPr>
              <w:t>（需提供2024年度所在地市级财产保险保险行业协会市场份额盖章证明材料）。</w:t>
            </w:r>
          </w:p>
        </w:tc>
      </w:tr>
      <w:tr w14:paraId="2381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7E41F6F6">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1617" w:type="dxa"/>
            <w:tcBorders>
              <w:tl2br w:val="nil"/>
              <w:tr2bl w:val="nil"/>
            </w:tcBorders>
            <w:vAlign w:val="center"/>
          </w:tcPr>
          <w:p w14:paraId="5DF03DD1">
            <w:pPr>
              <w:widowControl/>
              <w:jc w:val="center"/>
              <w:rPr>
                <w:rFonts w:ascii="宋体" w:hAnsi="宋体" w:cs="宋体"/>
                <w:kern w:val="0"/>
                <w:sz w:val="24"/>
                <w:highlight w:val="none"/>
              </w:rPr>
            </w:pPr>
            <w:r>
              <w:rPr>
                <w:rFonts w:hint="eastAsia" w:ascii="宋体" w:hAnsi="宋体" w:cs="宋体"/>
                <w:kern w:val="0"/>
                <w:sz w:val="24"/>
                <w:highlight w:val="none"/>
              </w:rPr>
              <w:t>核心偿付能力</w:t>
            </w:r>
          </w:p>
        </w:tc>
        <w:tc>
          <w:tcPr>
            <w:tcW w:w="825" w:type="dxa"/>
            <w:tcBorders>
              <w:tl2br w:val="nil"/>
              <w:tr2bl w:val="nil"/>
            </w:tcBorders>
            <w:vAlign w:val="center"/>
          </w:tcPr>
          <w:p w14:paraId="69F2B3E7">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5138" w:type="dxa"/>
            <w:tcBorders>
              <w:tl2br w:val="nil"/>
              <w:tr2bl w:val="nil"/>
            </w:tcBorders>
            <w:vAlign w:val="center"/>
          </w:tcPr>
          <w:p w14:paraId="728E0419">
            <w:pPr>
              <w:adjustRightInd w:val="0"/>
              <w:snapToGrid w:val="0"/>
              <w:rPr>
                <w:rFonts w:ascii="宋体" w:hAnsi="宋体" w:cs="宋体"/>
                <w:kern w:val="0"/>
                <w:szCs w:val="21"/>
                <w:highlight w:val="none"/>
              </w:rPr>
            </w:pPr>
            <w:r>
              <w:rPr>
                <w:rFonts w:hint="eastAsia" w:ascii="宋体" w:hAnsi="宋体" w:cs="宋体"/>
                <w:kern w:val="0"/>
                <w:szCs w:val="21"/>
                <w:highlight w:val="none"/>
              </w:rPr>
              <w:t>按投标人2025年第一季度核心偿付能力情况进行评分：核心偿付能力≥200%，得5分；200%&gt;核心偿付能力≥180%，得3分；180%&gt;核心偿付能力≥160%，得2分，小于160%得1分。</w:t>
            </w:r>
          </w:p>
          <w:p w14:paraId="1DE18EE2">
            <w:pPr>
              <w:adjustRightInd w:val="0"/>
              <w:snapToGrid w:val="0"/>
              <w:rPr>
                <w:rFonts w:ascii="宋体" w:hAnsi="宋体" w:cs="宋体"/>
                <w:b/>
                <w:bCs/>
                <w:kern w:val="0"/>
                <w:szCs w:val="21"/>
                <w:highlight w:val="none"/>
              </w:rPr>
            </w:pPr>
            <w:r>
              <w:rPr>
                <w:rFonts w:hint="eastAsia" w:ascii="宋体" w:hAnsi="宋体" w:cs="宋体"/>
                <w:kern w:val="0"/>
                <w:szCs w:val="21"/>
                <w:highlight w:val="none"/>
              </w:rPr>
              <w:t>以投标人总公司提供的相关数据为准，投标人对其数据承担法律责任。</w:t>
            </w:r>
            <w:r>
              <w:rPr>
                <w:rFonts w:hint="eastAsia" w:ascii="宋体" w:hAnsi="宋体" w:cs="宋体"/>
                <w:b/>
                <w:bCs/>
                <w:kern w:val="0"/>
                <w:szCs w:val="21"/>
                <w:highlight w:val="none"/>
              </w:rPr>
              <w:t>(以2025年第一季度经会计事务所审计的最新审计报告数据为准。</w:t>
            </w:r>
          </w:p>
          <w:p w14:paraId="26D8E1B6">
            <w:pPr>
              <w:widowControl/>
              <w:jc w:val="left"/>
              <w:rPr>
                <w:rFonts w:ascii="宋体" w:hAnsi="宋体" w:cs="宋体"/>
                <w:kern w:val="0"/>
                <w:sz w:val="24"/>
                <w:highlight w:val="none"/>
              </w:rPr>
            </w:pPr>
            <w:r>
              <w:rPr>
                <w:rFonts w:hint="eastAsia" w:ascii="宋体" w:hAnsi="宋体" w:cs="宋体"/>
                <w:b/>
                <w:bCs/>
                <w:kern w:val="0"/>
                <w:szCs w:val="21"/>
                <w:highlight w:val="none"/>
              </w:rPr>
              <w:t>网址：https://icidp.iachina.cn/?columnid_url=201510010001)</w:t>
            </w:r>
          </w:p>
        </w:tc>
      </w:tr>
      <w:tr w14:paraId="35FC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1F244762">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1617" w:type="dxa"/>
            <w:tcBorders>
              <w:tl2br w:val="nil"/>
              <w:tr2bl w:val="nil"/>
            </w:tcBorders>
            <w:shd w:val="clear" w:color="auto" w:fill="auto"/>
            <w:vAlign w:val="center"/>
          </w:tcPr>
          <w:p w14:paraId="4936FA61">
            <w:pPr>
              <w:widowControl/>
              <w:jc w:val="center"/>
              <w:rPr>
                <w:rFonts w:ascii="宋体" w:hAnsi="宋体" w:cs="宋体"/>
                <w:kern w:val="0"/>
                <w:sz w:val="24"/>
                <w:highlight w:val="none"/>
              </w:rPr>
            </w:pPr>
            <w:r>
              <w:rPr>
                <w:rFonts w:hint="eastAsia" w:ascii="宋体" w:hAnsi="宋体" w:cs="宋体"/>
                <w:kern w:val="0"/>
                <w:sz w:val="24"/>
                <w:highlight w:val="none"/>
              </w:rPr>
              <w:t>风险综合评</w:t>
            </w:r>
          </w:p>
          <w:p w14:paraId="0C001033">
            <w:pPr>
              <w:widowControl/>
              <w:jc w:val="center"/>
              <w:rPr>
                <w:rFonts w:ascii="宋体" w:hAnsi="宋体" w:cs="宋体"/>
                <w:kern w:val="0"/>
                <w:sz w:val="24"/>
                <w:highlight w:val="none"/>
              </w:rPr>
            </w:pPr>
            <w:r>
              <w:rPr>
                <w:rFonts w:hint="eastAsia" w:ascii="宋体" w:hAnsi="宋体" w:cs="宋体"/>
                <w:kern w:val="0"/>
                <w:sz w:val="24"/>
                <w:highlight w:val="none"/>
              </w:rPr>
              <w:t>级</w:t>
            </w:r>
          </w:p>
        </w:tc>
        <w:tc>
          <w:tcPr>
            <w:tcW w:w="825" w:type="dxa"/>
            <w:tcBorders>
              <w:tl2br w:val="nil"/>
              <w:tr2bl w:val="nil"/>
            </w:tcBorders>
            <w:vAlign w:val="center"/>
          </w:tcPr>
          <w:p w14:paraId="414C76E4">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48A67C31">
            <w:pPr>
              <w:jc w:val="left"/>
              <w:rPr>
                <w:rFonts w:ascii="宋体" w:hAnsi="宋体" w:cs="宋体"/>
                <w:kern w:val="0"/>
                <w:szCs w:val="21"/>
                <w:highlight w:val="none"/>
              </w:rPr>
            </w:pPr>
            <w:r>
              <w:rPr>
                <w:rFonts w:hint="eastAsia" w:ascii="宋体" w:hAnsi="宋体" w:cs="宋体"/>
                <w:kern w:val="0"/>
                <w:szCs w:val="21"/>
                <w:highlight w:val="none"/>
              </w:rPr>
              <w:t>根据中国保险行业协会发表的关于最近年度保险公司法人机构经营评价结果评分，A级及以上得6分，B级得4分，C级及以下不得分。</w:t>
            </w:r>
          </w:p>
          <w:p w14:paraId="6D274D84">
            <w:pPr>
              <w:widowControl/>
              <w:jc w:val="left"/>
              <w:rPr>
                <w:rFonts w:ascii="宋体" w:hAnsi="宋体" w:cs="宋体"/>
                <w:kern w:val="0"/>
                <w:sz w:val="24"/>
                <w:highlight w:val="none"/>
              </w:rPr>
            </w:pPr>
            <w:r>
              <w:rPr>
                <w:rFonts w:hint="eastAsia" w:ascii="宋体" w:hAnsi="宋体" w:cs="宋体"/>
                <w:b/>
                <w:bCs/>
                <w:kern w:val="0"/>
                <w:szCs w:val="21"/>
                <w:highlight w:val="none"/>
              </w:rPr>
              <w:t>(网址：http://www.iachina.cn/art/2024/12/31/art_24_108138.html)</w:t>
            </w:r>
          </w:p>
        </w:tc>
      </w:tr>
      <w:tr w14:paraId="417C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20214F45">
            <w:pPr>
              <w:widowControl/>
              <w:jc w:val="center"/>
              <w:rPr>
                <w:rFonts w:ascii="宋体" w:hAnsi="宋体" w:cs="宋体"/>
                <w:kern w:val="0"/>
                <w:sz w:val="24"/>
                <w:highlight w:val="none"/>
              </w:rPr>
            </w:pPr>
            <w:r>
              <w:rPr>
                <w:rFonts w:hint="eastAsia" w:ascii="宋体" w:hAnsi="宋体" w:cs="宋体"/>
                <w:kern w:val="0"/>
                <w:sz w:val="24"/>
                <w:highlight w:val="none"/>
              </w:rPr>
              <w:t>4</w:t>
            </w:r>
          </w:p>
        </w:tc>
        <w:tc>
          <w:tcPr>
            <w:tcW w:w="1617" w:type="dxa"/>
            <w:tcBorders>
              <w:tl2br w:val="nil"/>
              <w:tr2bl w:val="nil"/>
            </w:tcBorders>
            <w:shd w:val="clear" w:color="auto" w:fill="auto"/>
            <w:vAlign w:val="center"/>
          </w:tcPr>
          <w:p w14:paraId="7A64C760">
            <w:pPr>
              <w:widowControl/>
              <w:jc w:val="center"/>
              <w:rPr>
                <w:rFonts w:ascii="宋体" w:hAnsi="宋体" w:cs="宋体"/>
                <w:kern w:val="0"/>
                <w:sz w:val="24"/>
                <w:highlight w:val="none"/>
              </w:rPr>
            </w:pPr>
            <w:r>
              <w:rPr>
                <w:rFonts w:hint="eastAsia" w:ascii="宋体" w:hAnsi="宋体" w:cs="宋体"/>
                <w:szCs w:val="21"/>
                <w:highlight w:val="none"/>
              </w:rPr>
              <w:t>服务网点分布情况</w:t>
            </w:r>
          </w:p>
        </w:tc>
        <w:tc>
          <w:tcPr>
            <w:tcW w:w="825" w:type="dxa"/>
            <w:tcBorders>
              <w:tl2br w:val="nil"/>
              <w:tr2bl w:val="nil"/>
            </w:tcBorders>
            <w:vAlign w:val="center"/>
          </w:tcPr>
          <w:p w14:paraId="2CA65D89">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3778BF6D">
            <w:pPr>
              <w:widowControl/>
              <w:jc w:val="left"/>
              <w:rPr>
                <w:rFonts w:ascii="宋体" w:hAnsi="宋体" w:cs="宋体"/>
                <w:kern w:val="0"/>
                <w:sz w:val="24"/>
                <w:highlight w:val="none"/>
              </w:rPr>
            </w:pPr>
            <w:r>
              <w:rPr>
                <w:rFonts w:hint="eastAsia" w:ascii="宋体" w:hAnsi="宋体" w:cs="宋体"/>
                <w:szCs w:val="21"/>
                <w:highlight w:val="none"/>
              </w:rPr>
              <w:t>根据投标人在台州市区（椒江、黄岩、路桥、台州湾新区）服务网点个数进行排名，网点数15个及以上的得6分，10-14个的得4分，5-9个得2分，5个以下得1分。需提供营业执照等证明材料，未提供或无法证明的不得分。</w:t>
            </w:r>
          </w:p>
        </w:tc>
      </w:tr>
      <w:tr w14:paraId="3C7E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4B83BBAA">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1617" w:type="dxa"/>
            <w:tcBorders>
              <w:tl2br w:val="nil"/>
              <w:tr2bl w:val="nil"/>
            </w:tcBorders>
            <w:shd w:val="clear" w:color="auto" w:fill="auto"/>
            <w:vAlign w:val="center"/>
          </w:tcPr>
          <w:p w14:paraId="0D07A172">
            <w:pPr>
              <w:widowControl/>
              <w:jc w:val="center"/>
              <w:rPr>
                <w:rFonts w:ascii="宋体" w:hAnsi="宋体" w:cs="宋体"/>
                <w:kern w:val="0"/>
                <w:sz w:val="24"/>
                <w:highlight w:val="none"/>
              </w:rPr>
            </w:pPr>
            <w:r>
              <w:rPr>
                <w:rFonts w:hint="eastAsia" w:ascii="宋体" w:hAnsi="宋体" w:cs="宋体"/>
                <w:kern w:val="0"/>
                <w:sz w:val="24"/>
                <w:highlight w:val="none"/>
              </w:rPr>
              <w:t>服务团队方案</w:t>
            </w:r>
          </w:p>
        </w:tc>
        <w:tc>
          <w:tcPr>
            <w:tcW w:w="825" w:type="dxa"/>
            <w:tcBorders>
              <w:tl2br w:val="nil"/>
              <w:tr2bl w:val="nil"/>
            </w:tcBorders>
            <w:vAlign w:val="center"/>
          </w:tcPr>
          <w:p w14:paraId="7C783F0D">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53C51C67">
            <w:pPr>
              <w:widowControl/>
              <w:jc w:val="left"/>
              <w:rPr>
                <w:rFonts w:ascii="宋体" w:hAnsi="宋体" w:cs="宋体"/>
                <w:kern w:val="0"/>
                <w:sz w:val="24"/>
                <w:highlight w:val="none"/>
              </w:rPr>
            </w:pPr>
            <w:r>
              <w:rPr>
                <w:rFonts w:hint="eastAsia" w:ascii="宋体" w:hAnsi="宋体" w:cs="宋体"/>
                <w:kern w:val="0"/>
                <w:sz w:val="24"/>
                <w:highlight w:val="none"/>
              </w:rPr>
              <w:t>根据投标人为招标人设立专属承保理赔服务团队情况评分。</w:t>
            </w:r>
            <w:r>
              <w:rPr>
                <w:rFonts w:hint="eastAsia" w:ascii="宋体" w:hAnsi="宋体" w:cs="宋体"/>
                <w:kern w:val="0"/>
                <w:sz w:val="24"/>
                <w:highlight w:val="none"/>
              </w:rPr>
              <w:br w:type="textWrapping"/>
            </w:r>
            <w:r>
              <w:rPr>
                <w:rFonts w:hint="eastAsia" w:ascii="宋体" w:hAnsi="宋体" w:cs="宋体"/>
                <w:kern w:val="0"/>
                <w:sz w:val="24"/>
                <w:highlight w:val="none"/>
              </w:rPr>
              <w:t>服务团队成员5人及以上，能提供上门承保服务得4分，其余：</w:t>
            </w:r>
          </w:p>
          <w:p w14:paraId="4859735B">
            <w:pPr>
              <w:widowControl/>
              <w:jc w:val="left"/>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val="zh-CN"/>
              </w:rPr>
              <w:t>方案的完整性、合理性、可行性高的</w:t>
            </w:r>
            <w:r>
              <w:rPr>
                <w:rFonts w:hint="eastAsia" w:ascii="宋体" w:hAnsi="宋体" w:cs="宋体"/>
                <w:kern w:val="0"/>
                <w:sz w:val="24"/>
                <w:highlight w:val="none"/>
              </w:rPr>
              <w:t>，</w:t>
            </w:r>
            <w:r>
              <w:rPr>
                <w:rFonts w:hint="eastAsia" w:ascii="宋体" w:hAnsi="宋体" w:cs="宋体"/>
                <w:kern w:val="0"/>
                <w:sz w:val="24"/>
                <w:highlight w:val="none"/>
                <w:lang w:val="zh-CN"/>
              </w:rPr>
              <w:t>得</w:t>
            </w:r>
            <w:r>
              <w:rPr>
                <w:rFonts w:hint="eastAsia" w:ascii="宋体" w:hAnsi="宋体" w:cs="宋体"/>
                <w:kern w:val="0"/>
                <w:sz w:val="24"/>
                <w:highlight w:val="none"/>
              </w:rPr>
              <w:t>2-1.6</w:t>
            </w:r>
            <w:r>
              <w:rPr>
                <w:rFonts w:hint="eastAsia" w:ascii="宋体" w:hAnsi="宋体" w:cs="宋体"/>
                <w:kern w:val="0"/>
                <w:sz w:val="24"/>
                <w:highlight w:val="none"/>
                <w:lang w:val="zh-CN"/>
              </w:rPr>
              <w:t>分</w:t>
            </w:r>
            <w:r>
              <w:rPr>
                <w:rFonts w:hint="eastAsia" w:ascii="宋体" w:hAnsi="宋体" w:cs="宋体"/>
                <w:kern w:val="0"/>
                <w:sz w:val="24"/>
                <w:highlight w:val="none"/>
              </w:rPr>
              <w:t>；</w:t>
            </w:r>
          </w:p>
          <w:p w14:paraId="56283EB6">
            <w:pPr>
              <w:widowControl/>
              <w:jc w:val="left"/>
              <w:rPr>
                <w:rFonts w:ascii="宋体" w:hAnsi="宋体" w:cs="宋体"/>
                <w:kern w:val="0"/>
                <w:sz w:val="24"/>
                <w:highlight w:val="none"/>
                <w:lang w:val="zh-CN"/>
              </w:rPr>
            </w:pPr>
            <w:r>
              <w:rPr>
                <w:rFonts w:hint="eastAsia" w:ascii="宋体" w:hAnsi="宋体" w:cs="宋体"/>
                <w:kern w:val="0"/>
                <w:sz w:val="24"/>
                <w:highlight w:val="none"/>
                <w:lang w:val="zh-CN"/>
              </w:rPr>
              <w:t>2.方案设计较完整、合理、可行的，得</w:t>
            </w:r>
            <w:r>
              <w:rPr>
                <w:rFonts w:hint="eastAsia" w:ascii="宋体" w:hAnsi="宋体" w:cs="宋体"/>
                <w:kern w:val="0"/>
                <w:sz w:val="24"/>
                <w:highlight w:val="none"/>
              </w:rPr>
              <w:t>1.5-1.1</w:t>
            </w:r>
            <w:r>
              <w:rPr>
                <w:rFonts w:hint="eastAsia" w:ascii="宋体" w:hAnsi="宋体" w:cs="宋体"/>
                <w:kern w:val="0"/>
                <w:sz w:val="24"/>
                <w:highlight w:val="none"/>
                <w:lang w:val="zh-CN"/>
              </w:rPr>
              <w:t>分；</w:t>
            </w:r>
          </w:p>
          <w:p w14:paraId="0CF00727">
            <w:pPr>
              <w:widowControl/>
              <w:jc w:val="left"/>
              <w:rPr>
                <w:rFonts w:ascii="宋体" w:hAnsi="宋体" w:cs="宋体"/>
                <w:kern w:val="0"/>
                <w:sz w:val="24"/>
                <w:highlight w:val="none"/>
                <w:lang w:val="zh-CN"/>
              </w:rPr>
            </w:pPr>
            <w:r>
              <w:rPr>
                <w:rFonts w:hint="eastAsia" w:ascii="宋体" w:hAnsi="宋体" w:cs="宋体"/>
                <w:kern w:val="0"/>
                <w:sz w:val="24"/>
                <w:highlight w:val="none"/>
                <w:lang w:val="zh-CN"/>
              </w:rPr>
              <w:t>3.方案设计内容大部分可以满足项目需求的，得</w:t>
            </w:r>
            <w:r>
              <w:rPr>
                <w:rFonts w:hint="eastAsia" w:ascii="宋体" w:hAnsi="宋体" w:cs="宋体"/>
                <w:kern w:val="0"/>
                <w:sz w:val="24"/>
                <w:highlight w:val="none"/>
              </w:rPr>
              <w:t>1-0.6</w:t>
            </w:r>
            <w:r>
              <w:rPr>
                <w:rFonts w:hint="eastAsia" w:ascii="宋体" w:hAnsi="宋体" w:cs="宋体"/>
                <w:kern w:val="0"/>
                <w:sz w:val="24"/>
                <w:highlight w:val="none"/>
                <w:lang w:val="zh-CN"/>
              </w:rPr>
              <w:t>分；</w:t>
            </w:r>
          </w:p>
          <w:p w14:paraId="2509D08E">
            <w:pPr>
              <w:widowControl/>
              <w:jc w:val="left"/>
              <w:rPr>
                <w:rFonts w:ascii="宋体" w:hAnsi="宋体" w:cs="宋体"/>
                <w:kern w:val="0"/>
                <w:sz w:val="24"/>
                <w:highlight w:val="none"/>
                <w:lang w:val="zh-CN"/>
              </w:rPr>
            </w:pPr>
            <w:r>
              <w:rPr>
                <w:rFonts w:hint="eastAsia" w:ascii="宋体" w:hAnsi="宋体" w:cs="宋体"/>
                <w:kern w:val="0"/>
                <w:sz w:val="24"/>
                <w:highlight w:val="none"/>
                <w:lang w:val="zh-CN"/>
              </w:rPr>
              <w:t>4.方案设计小部分内容满足项目需求的，得</w:t>
            </w:r>
            <w:r>
              <w:rPr>
                <w:rFonts w:hint="eastAsia" w:ascii="宋体" w:hAnsi="宋体" w:cs="宋体"/>
                <w:kern w:val="0"/>
                <w:sz w:val="24"/>
                <w:highlight w:val="none"/>
              </w:rPr>
              <w:t>0.5-0.1</w:t>
            </w:r>
            <w:r>
              <w:rPr>
                <w:rFonts w:hint="eastAsia" w:ascii="宋体" w:hAnsi="宋体" w:cs="宋体"/>
                <w:kern w:val="0"/>
                <w:sz w:val="24"/>
                <w:highlight w:val="none"/>
                <w:lang w:val="zh-CN"/>
              </w:rPr>
              <w:t>分；</w:t>
            </w:r>
          </w:p>
          <w:p w14:paraId="1C8110B1">
            <w:pPr>
              <w:widowControl/>
              <w:jc w:val="left"/>
              <w:rPr>
                <w:rFonts w:ascii="宋体" w:hAnsi="宋体" w:cs="宋体"/>
                <w:kern w:val="0"/>
                <w:sz w:val="24"/>
                <w:highlight w:val="none"/>
              </w:rPr>
            </w:pPr>
            <w:r>
              <w:rPr>
                <w:rFonts w:hint="eastAsia" w:ascii="宋体" w:hAnsi="宋体" w:cs="宋体"/>
                <w:kern w:val="0"/>
                <w:sz w:val="24"/>
                <w:highlight w:val="none"/>
                <w:lang w:val="zh-CN"/>
              </w:rPr>
              <w:t>5.方案设计不合理、不准确的，不得分</w:t>
            </w:r>
            <w:r>
              <w:rPr>
                <w:rFonts w:hint="eastAsia" w:ascii="宋体" w:hAnsi="宋体" w:cs="宋体"/>
                <w:kern w:val="0"/>
                <w:sz w:val="24"/>
                <w:highlight w:val="none"/>
              </w:rPr>
              <w:br w:type="textWrapping"/>
            </w:r>
            <w:r>
              <w:rPr>
                <w:rFonts w:hint="eastAsia" w:ascii="宋体" w:hAnsi="宋体" w:cs="宋体"/>
                <w:kern w:val="0"/>
                <w:sz w:val="24"/>
                <w:highlight w:val="none"/>
              </w:rPr>
              <w:t>（需提供以上人员近3个月的社保证明）</w:t>
            </w:r>
          </w:p>
        </w:tc>
      </w:tr>
      <w:tr w14:paraId="623C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09CD37A7">
            <w:pPr>
              <w:widowControl/>
              <w:jc w:val="center"/>
              <w:rPr>
                <w:rFonts w:ascii="宋体" w:hAnsi="宋体" w:cs="宋体"/>
                <w:kern w:val="0"/>
                <w:sz w:val="24"/>
                <w:highlight w:val="none"/>
              </w:rPr>
            </w:pPr>
            <w:bookmarkStart w:id="48" w:name="OLE_LINK1" w:colFirst="1" w:colLast="1"/>
            <w:r>
              <w:rPr>
                <w:rFonts w:hint="eastAsia" w:ascii="宋体" w:hAnsi="宋体" w:cs="宋体"/>
                <w:kern w:val="0"/>
                <w:sz w:val="24"/>
                <w:highlight w:val="none"/>
              </w:rPr>
              <w:t>6</w:t>
            </w:r>
          </w:p>
        </w:tc>
        <w:tc>
          <w:tcPr>
            <w:tcW w:w="1617" w:type="dxa"/>
            <w:tcBorders>
              <w:tl2br w:val="nil"/>
              <w:tr2bl w:val="nil"/>
            </w:tcBorders>
            <w:shd w:val="clear" w:color="auto" w:fill="auto"/>
            <w:vAlign w:val="center"/>
          </w:tcPr>
          <w:p w14:paraId="1B1502F5">
            <w:pPr>
              <w:widowControl/>
              <w:jc w:val="center"/>
              <w:rPr>
                <w:rFonts w:ascii="宋体" w:hAnsi="宋体" w:cs="宋体"/>
                <w:kern w:val="0"/>
                <w:sz w:val="24"/>
                <w:highlight w:val="none"/>
              </w:rPr>
            </w:pPr>
            <w:r>
              <w:rPr>
                <w:rFonts w:hint="eastAsia" w:ascii="宋体" w:hAnsi="宋体" w:cs="宋体"/>
                <w:kern w:val="0"/>
                <w:sz w:val="24"/>
                <w:highlight w:val="none"/>
              </w:rPr>
              <w:t>查勘</w:t>
            </w:r>
          </w:p>
          <w:p w14:paraId="32AC03E1">
            <w:pPr>
              <w:widowControl/>
              <w:jc w:val="center"/>
              <w:rPr>
                <w:rFonts w:ascii="宋体" w:hAnsi="宋体" w:cs="宋体"/>
                <w:kern w:val="0"/>
                <w:sz w:val="24"/>
                <w:highlight w:val="none"/>
              </w:rPr>
            </w:pPr>
            <w:r>
              <w:rPr>
                <w:rFonts w:hint="eastAsia" w:ascii="宋体" w:hAnsi="宋体" w:cs="宋体"/>
                <w:kern w:val="0"/>
                <w:sz w:val="24"/>
                <w:highlight w:val="none"/>
              </w:rPr>
              <w:t>理赔</w:t>
            </w:r>
          </w:p>
          <w:p w14:paraId="0E6C41C3">
            <w:pPr>
              <w:widowControl/>
              <w:jc w:val="center"/>
              <w:rPr>
                <w:rFonts w:ascii="宋体" w:hAnsi="宋体" w:cs="宋体"/>
                <w:kern w:val="0"/>
                <w:sz w:val="24"/>
                <w:highlight w:val="none"/>
              </w:rPr>
            </w:pPr>
            <w:r>
              <w:rPr>
                <w:rFonts w:hint="eastAsia" w:ascii="宋体" w:hAnsi="宋体" w:cs="宋体"/>
                <w:kern w:val="0"/>
                <w:sz w:val="24"/>
                <w:highlight w:val="none"/>
              </w:rPr>
              <w:t>服务</w:t>
            </w:r>
          </w:p>
          <w:p w14:paraId="0A1DC88D">
            <w:pPr>
              <w:widowControl/>
              <w:jc w:val="center"/>
              <w:rPr>
                <w:rFonts w:ascii="宋体" w:hAnsi="宋体" w:cs="宋体"/>
                <w:kern w:val="0"/>
                <w:sz w:val="24"/>
                <w:highlight w:val="none"/>
              </w:rPr>
            </w:pPr>
            <w:r>
              <w:rPr>
                <w:rFonts w:hint="eastAsia" w:ascii="宋体" w:hAnsi="宋体" w:cs="宋体"/>
                <w:kern w:val="0"/>
                <w:sz w:val="24"/>
                <w:highlight w:val="none"/>
              </w:rPr>
              <w:t>能力</w:t>
            </w:r>
          </w:p>
        </w:tc>
        <w:tc>
          <w:tcPr>
            <w:tcW w:w="825" w:type="dxa"/>
            <w:tcBorders>
              <w:tl2br w:val="nil"/>
              <w:tr2bl w:val="nil"/>
            </w:tcBorders>
            <w:vAlign w:val="center"/>
          </w:tcPr>
          <w:p w14:paraId="6F4AF9AA">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026ECEED">
            <w:pPr>
              <w:widowControl/>
              <w:jc w:val="left"/>
              <w:rPr>
                <w:rFonts w:ascii="宋体" w:hAnsi="宋体" w:cs="宋体"/>
                <w:kern w:val="0"/>
                <w:sz w:val="24"/>
                <w:highlight w:val="none"/>
              </w:rPr>
            </w:pPr>
            <w:r>
              <w:rPr>
                <w:rFonts w:hint="eastAsia" w:ascii="宋体" w:hAnsi="宋体" w:cs="宋体"/>
                <w:kern w:val="0"/>
                <w:sz w:val="24"/>
                <w:highlight w:val="none"/>
              </w:rPr>
              <w:t>投标单位（包含各投标单位总公司在台州地区各分公司、支公司等）在台州区域内自有配置的查勘车辆数量进行打分，拥有车辆100辆及以上得6分，50-99辆得4分，20-49辆得2分，10-19辆得1分。10辆以下不得分。</w:t>
            </w:r>
          </w:p>
        </w:tc>
      </w:tr>
      <w:tr w14:paraId="1EFB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106CD5B8">
            <w:pPr>
              <w:widowControl/>
              <w:jc w:val="center"/>
              <w:rPr>
                <w:rFonts w:ascii="宋体" w:hAnsi="宋体" w:cs="宋体"/>
                <w:kern w:val="0"/>
                <w:sz w:val="24"/>
                <w:highlight w:val="none"/>
              </w:rPr>
            </w:pPr>
            <w:r>
              <w:rPr>
                <w:rFonts w:hint="eastAsia" w:ascii="宋体" w:hAnsi="宋体" w:cs="宋体"/>
                <w:kern w:val="0"/>
                <w:sz w:val="24"/>
                <w:highlight w:val="none"/>
              </w:rPr>
              <w:t>7</w:t>
            </w:r>
          </w:p>
        </w:tc>
        <w:tc>
          <w:tcPr>
            <w:tcW w:w="1617" w:type="dxa"/>
            <w:tcBorders>
              <w:tl2br w:val="nil"/>
              <w:tr2bl w:val="nil"/>
            </w:tcBorders>
            <w:shd w:val="clear" w:color="auto" w:fill="auto"/>
            <w:vAlign w:val="center"/>
          </w:tcPr>
          <w:p w14:paraId="3CDECC3E">
            <w:pPr>
              <w:widowControl/>
              <w:jc w:val="center"/>
              <w:rPr>
                <w:rFonts w:ascii="宋体" w:hAnsi="宋体" w:cs="宋体"/>
                <w:kern w:val="0"/>
                <w:sz w:val="24"/>
                <w:highlight w:val="none"/>
              </w:rPr>
            </w:pPr>
            <w:r>
              <w:rPr>
                <w:rFonts w:hint="eastAsia" w:ascii="宋体" w:hAnsi="宋体" w:cs="宋体"/>
                <w:kern w:val="0"/>
                <w:sz w:val="24"/>
                <w:highlight w:val="none"/>
              </w:rPr>
              <w:t>事故定损</w:t>
            </w:r>
          </w:p>
        </w:tc>
        <w:tc>
          <w:tcPr>
            <w:tcW w:w="825" w:type="dxa"/>
            <w:tcBorders>
              <w:tl2br w:val="nil"/>
              <w:tr2bl w:val="nil"/>
            </w:tcBorders>
            <w:vAlign w:val="center"/>
          </w:tcPr>
          <w:p w14:paraId="30E86F3D">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5138" w:type="dxa"/>
            <w:tcBorders>
              <w:tl2br w:val="nil"/>
              <w:tr2bl w:val="nil"/>
            </w:tcBorders>
            <w:shd w:val="clear" w:color="auto" w:fill="auto"/>
            <w:vAlign w:val="center"/>
          </w:tcPr>
          <w:p w14:paraId="06D631ED">
            <w:pPr>
              <w:widowControl/>
              <w:jc w:val="left"/>
              <w:rPr>
                <w:rFonts w:ascii="宋体" w:hAnsi="宋体" w:cs="宋体"/>
                <w:kern w:val="0"/>
                <w:sz w:val="24"/>
                <w:highlight w:val="none"/>
              </w:rPr>
            </w:pPr>
            <w:r>
              <w:rPr>
                <w:rFonts w:hint="eastAsia" w:ascii="宋体" w:hAnsi="宋体" w:cs="宋体"/>
                <w:kern w:val="0"/>
                <w:sz w:val="24"/>
                <w:highlight w:val="none"/>
              </w:rPr>
              <w:t xml:space="preserve">投标人承诺在被保险人提交损失单证后，1 万及以下事故定损为 1 个工作日内， 1-5 万（含 5 万）为 2 个工作日内，5 万以上为 3 个工作日内。 </w:t>
            </w:r>
          </w:p>
          <w:p w14:paraId="5F3A09DA">
            <w:pPr>
              <w:widowControl/>
              <w:jc w:val="left"/>
              <w:rPr>
                <w:rFonts w:ascii="宋体" w:hAnsi="宋体" w:cs="宋体"/>
                <w:kern w:val="0"/>
                <w:sz w:val="24"/>
                <w:highlight w:val="none"/>
              </w:rPr>
            </w:pPr>
            <w:r>
              <w:rPr>
                <w:rFonts w:hint="eastAsia" w:ascii="宋体" w:hAnsi="宋体" w:cs="宋体"/>
                <w:kern w:val="0"/>
                <w:sz w:val="24"/>
                <w:highlight w:val="none"/>
              </w:rPr>
              <w:t xml:space="preserve">全部响应的得 5分，每延长 1 天扣 2分，扣完为止。 </w:t>
            </w:r>
          </w:p>
          <w:p w14:paraId="77BF15F7">
            <w:pPr>
              <w:widowControl/>
              <w:jc w:val="left"/>
              <w:rPr>
                <w:rFonts w:ascii="宋体" w:hAnsi="宋体" w:cs="宋体"/>
                <w:kern w:val="0"/>
                <w:sz w:val="24"/>
                <w:highlight w:val="none"/>
                <w:lang w:val="zh-CN"/>
              </w:rPr>
            </w:pPr>
            <w:r>
              <w:rPr>
                <w:rFonts w:hint="eastAsia" w:ascii="宋体" w:hAnsi="宋体" w:cs="宋体"/>
                <w:kern w:val="0"/>
                <w:sz w:val="24"/>
                <w:highlight w:val="none"/>
              </w:rPr>
              <w:t>注：投标人需在投标文件中针对上述内容作出明确承诺，未满足要求的不得分</w:t>
            </w:r>
          </w:p>
        </w:tc>
      </w:tr>
      <w:tr w14:paraId="6D67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34A4DAD2">
            <w:pPr>
              <w:widowControl/>
              <w:jc w:val="center"/>
              <w:rPr>
                <w:rFonts w:ascii="宋体" w:hAnsi="宋体" w:cs="宋体"/>
                <w:kern w:val="0"/>
                <w:sz w:val="24"/>
                <w:highlight w:val="none"/>
              </w:rPr>
            </w:pPr>
            <w:r>
              <w:rPr>
                <w:rFonts w:hint="eastAsia" w:ascii="宋体" w:hAnsi="宋体" w:cs="宋体"/>
                <w:kern w:val="0"/>
                <w:sz w:val="24"/>
                <w:highlight w:val="none"/>
              </w:rPr>
              <w:t>8</w:t>
            </w:r>
          </w:p>
        </w:tc>
        <w:tc>
          <w:tcPr>
            <w:tcW w:w="1617" w:type="dxa"/>
            <w:tcBorders>
              <w:tl2br w:val="nil"/>
              <w:tr2bl w:val="nil"/>
            </w:tcBorders>
            <w:shd w:val="clear" w:color="auto" w:fill="auto"/>
            <w:vAlign w:val="center"/>
          </w:tcPr>
          <w:p w14:paraId="6993499D">
            <w:pPr>
              <w:widowControl/>
              <w:jc w:val="center"/>
              <w:rPr>
                <w:rFonts w:ascii="宋体" w:hAnsi="宋体" w:cs="宋体"/>
                <w:kern w:val="0"/>
                <w:sz w:val="24"/>
                <w:highlight w:val="none"/>
              </w:rPr>
            </w:pPr>
            <w:r>
              <w:rPr>
                <w:rFonts w:hint="eastAsia" w:ascii="宋体" w:hAnsi="宋体" w:cs="宋体"/>
                <w:kern w:val="0"/>
                <w:sz w:val="24"/>
                <w:highlight w:val="none"/>
              </w:rPr>
              <w:t>事故查勘</w:t>
            </w:r>
          </w:p>
        </w:tc>
        <w:tc>
          <w:tcPr>
            <w:tcW w:w="825" w:type="dxa"/>
            <w:tcBorders>
              <w:tl2br w:val="nil"/>
              <w:tr2bl w:val="nil"/>
            </w:tcBorders>
            <w:vAlign w:val="center"/>
          </w:tcPr>
          <w:p w14:paraId="47FCA16D">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110C7A9D">
            <w:pPr>
              <w:widowControl/>
              <w:jc w:val="left"/>
              <w:rPr>
                <w:rFonts w:ascii="宋体" w:hAnsi="宋体" w:cs="宋体"/>
                <w:kern w:val="0"/>
                <w:sz w:val="24"/>
                <w:highlight w:val="none"/>
              </w:rPr>
            </w:pPr>
            <w:r>
              <w:rPr>
                <w:rFonts w:hint="eastAsia" w:ascii="宋体" w:hAnsi="宋体" w:cs="宋体"/>
                <w:kern w:val="0"/>
                <w:sz w:val="24"/>
                <w:highlight w:val="none"/>
              </w:rPr>
              <w:t>被保险人报案后，承诺椒江市区30分钟内到达得3分、45分钟内到达得2分、60分钟到达得1分，其余情况得0分。</w:t>
            </w:r>
            <w:r>
              <w:rPr>
                <w:rFonts w:hint="eastAsia" w:ascii="宋体" w:hAnsi="宋体" w:cs="宋体"/>
                <w:kern w:val="0"/>
                <w:sz w:val="24"/>
                <w:highlight w:val="none"/>
              </w:rPr>
              <w:br w:type="textWrapping"/>
            </w:r>
            <w:r>
              <w:rPr>
                <w:rFonts w:hint="eastAsia" w:ascii="宋体" w:hAnsi="宋体" w:cs="宋体"/>
                <w:kern w:val="0"/>
                <w:sz w:val="24"/>
                <w:highlight w:val="none"/>
              </w:rPr>
              <w:t>被保险人报案后，承诺椒江市区外60分钟内到达得3分、90分钟内到达得2分、120分钟内到达得1分，其余情况得0分。</w:t>
            </w:r>
          </w:p>
        </w:tc>
      </w:tr>
      <w:tr w14:paraId="22E7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5CF71BA6">
            <w:pPr>
              <w:widowControl/>
              <w:jc w:val="center"/>
              <w:rPr>
                <w:rFonts w:ascii="宋体" w:hAnsi="宋体" w:cs="宋体"/>
                <w:kern w:val="0"/>
                <w:sz w:val="24"/>
                <w:highlight w:val="none"/>
              </w:rPr>
            </w:pPr>
            <w:r>
              <w:rPr>
                <w:rFonts w:hint="eastAsia" w:ascii="宋体" w:hAnsi="宋体" w:cs="宋体"/>
                <w:kern w:val="0"/>
                <w:sz w:val="24"/>
                <w:highlight w:val="none"/>
              </w:rPr>
              <w:t>7</w:t>
            </w:r>
          </w:p>
        </w:tc>
        <w:tc>
          <w:tcPr>
            <w:tcW w:w="1617" w:type="dxa"/>
            <w:tcBorders>
              <w:tl2br w:val="nil"/>
              <w:tr2bl w:val="nil"/>
            </w:tcBorders>
            <w:shd w:val="clear" w:color="auto" w:fill="auto"/>
            <w:vAlign w:val="center"/>
          </w:tcPr>
          <w:p w14:paraId="2549427D">
            <w:pPr>
              <w:widowControl/>
              <w:jc w:val="center"/>
              <w:rPr>
                <w:rFonts w:ascii="宋体" w:hAnsi="宋体" w:cs="宋体"/>
                <w:kern w:val="0"/>
                <w:sz w:val="24"/>
                <w:highlight w:val="none"/>
              </w:rPr>
            </w:pPr>
            <w:r>
              <w:rPr>
                <w:rFonts w:hint="eastAsia" w:ascii="宋体" w:hAnsi="宋体" w:cs="宋体"/>
                <w:kern w:val="0"/>
                <w:sz w:val="24"/>
                <w:highlight w:val="none"/>
              </w:rPr>
              <w:t>法律援助</w:t>
            </w:r>
          </w:p>
        </w:tc>
        <w:tc>
          <w:tcPr>
            <w:tcW w:w="825" w:type="dxa"/>
            <w:tcBorders>
              <w:tl2br w:val="nil"/>
              <w:tr2bl w:val="nil"/>
            </w:tcBorders>
            <w:vAlign w:val="center"/>
          </w:tcPr>
          <w:p w14:paraId="425F7508">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1AEE309D">
            <w:pPr>
              <w:widowControl/>
              <w:jc w:val="left"/>
              <w:rPr>
                <w:rFonts w:ascii="宋体" w:hAnsi="宋体" w:cs="宋体"/>
                <w:kern w:val="0"/>
                <w:sz w:val="24"/>
                <w:highlight w:val="none"/>
              </w:rPr>
            </w:pPr>
            <w:r>
              <w:rPr>
                <w:rFonts w:hint="eastAsia" w:ascii="宋体" w:hAnsi="宋体" w:cs="宋体"/>
                <w:kern w:val="0"/>
                <w:sz w:val="24"/>
                <w:highlight w:val="none"/>
              </w:rPr>
              <w:t>投标人承诺对法律援助能够及时提供，专业人员2个及以上得6分，1个得3分。未提供不得分。提供社保证明和法律职业资格证书，承诺格式由各投标人自行编写。</w:t>
            </w:r>
          </w:p>
        </w:tc>
      </w:tr>
      <w:tr w14:paraId="5295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0E771961">
            <w:pPr>
              <w:widowControl/>
              <w:jc w:val="center"/>
              <w:rPr>
                <w:rFonts w:ascii="宋体" w:hAnsi="宋体" w:cs="宋体"/>
                <w:kern w:val="0"/>
                <w:sz w:val="24"/>
                <w:highlight w:val="none"/>
              </w:rPr>
            </w:pPr>
            <w:r>
              <w:rPr>
                <w:rFonts w:hint="eastAsia" w:ascii="宋体" w:hAnsi="宋体" w:cs="宋体"/>
                <w:kern w:val="0"/>
                <w:sz w:val="24"/>
                <w:highlight w:val="none"/>
              </w:rPr>
              <w:t>8</w:t>
            </w:r>
          </w:p>
        </w:tc>
        <w:tc>
          <w:tcPr>
            <w:tcW w:w="1617" w:type="dxa"/>
            <w:tcBorders>
              <w:tl2br w:val="nil"/>
              <w:tr2bl w:val="nil"/>
            </w:tcBorders>
            <w:shd w:val="clear" w:color="auto" w:fill="auto"/>
            <w:vAlign w:val="center"/>
          </w:tcPr>
          <w:p w14:paraId="3551C90B">
            <w:pPr>
              <w:widowControl/>
              <w:jc w:val="center"/>
              <w:rPr>
                <w:rFonts w:ascii="宋体" w:hAnsi="宋体" w:cs="宋体"/>
                <w:kern w:val="0"/>
                <w:sz w:val="24"/>
                <w:highlight w:val="none"/>
              </w:rPr>
            </w:pPr>
            <w:r>
              <w:rPr>
                <w:rFonts w:hint="eastAsia" w:ascii="宋体" w:hAnsi="宋体" w:cs="宋体"/>
                <w:kern w:val="0"/>
                <w:sz w:val="24"/>
                <w:highlight w:val="none"/>
              </w:rPr>
              <w:t>赔付时效</w:t>
            </w:r>
          </w:p>
        </w:tc>
        <w:tc>
          <w:tcPr>
            <w:tcW w:w="825" w:type="dxa"/>
            <w:tcBorders>
              <w:tl2br w:val="nil"/>
              <w:tr2bl w:val="nil"/>
            </w:tcBorders>
            <w:vAlign w:val="center"/>
          </w:tcPr>
          <w:p w14:paraId="4C7F1A50">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38" w:type="dxa"/>
            <w:tcBorders>
              <w:tl2br w:val="nil"/>
              <w:tr2bl w:val="nil"/>
            </w:tcBorders>
            <w:shd w:val="clear" w:color="auto" w:fill="auto"/>
            <w:vAlign w:val="center"/>
          </w:tcPr>
          <w:p w14:paraId="598255D1">
            <w:pPr>
              <w:widowControl/>
              <w:jc w:val="left"/>
              <w:rPr>
                <w:rFonts w:ascii="宋体" w:hAnsi="宋体" w:cs="宋体"/>
                <w:kern w:val="0"/>
                <w:sz w:val="24"/>
                <w:highlight w:val="none"/>
              </w:rPr>
            </w:pPr>
            <w:r>
              <w:rPr>
                <w:rFonts w:hint="eastAsia" w:ascii="宋体" w:hAnsi="宋体" w:cs="宋体"/>
                <w:kern w:val="0"/>
                <w:sz w:val="24"/>
                <w:highlight w:val="none"/>
              </w:rPr>
              <w:t>投标人承诺1万元及以下（除有人伤外）赔款，索赔手续齐全，保证1个工作日内赔付；1-5万元（含5万元、除有人伤外）赔款，索赔手续齐全，保证3个工作日内赔付；5-10万元（含10万元、除有人伤外）赔款，索赔手续齐全，保证8个工作日内赔付；10-20万元（含20万元、除有人伤外）赔款，索赔手续齐全，保证15个工作日内赔付；20万元以上赔款（除有人伤外），索赔手续齐全，保证20个工作日内赔付，得3分，每延长1天少得1分，扣完完止。</w:t>
            </w:r>
          </w:p>
        </w:tc>
      </w:tr>
      <w:tr w14:paraId="5B78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64" w:type="dxa"/>
            <w:tcBorders>
              <w:tl2br w:val="nil"/>
              <w:tr2bl w:val="nil"/>
            </w:tcBorders>
            <w:shd w:val="clear" w:color="auto" w:fill="auto"/>
            <w:vAlign w:val="center"/>
          </w:tcPr>
          <w:p w14:paraId="07A0BAFA">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1617" w:type="dxa"/>
            <w:tcBorders>
              <w:tl2br w:val="nil"/>
              <w:tr2bl w:val="nil"/>
            </w:tcBorders>
            <w:shd w:val="clear" w:color="auto" w:fill="auto"/>
            <w:vAlign w:val="center"/>
          </w:tcPr>
          <w:p w14:paraId="182668FE">
            <w:pPr>
              <w:widowControl/>
              <w:jc w:val="center"/>
              <w:rPr>
                <w:rFonts w:ascii="宋体" w:hAnsi="宋体" w:cs="宋体"/>
                <w:kern w:val="0"/>
                <w:sz w:val="24"/>
                <w:highlight w:val="none"/>
              </w:rPr>
            </w:pPr>
            <w:r>
              <w:rPr>
                <w:rFonts w:hint="eastAsia" w:ascii="宋体" w:hAnsi="宋体" w:cs="宋体"/>
                <w:kern w:val="0"/>
                <w:sz w:val="24"/>
                <w:highlight w:val="none"/>
              </w:rPr>
              <w:t>保险投诉情况</w:t>
            </w:r>
          </w:p>
        </w:tc>
        <w:tc>
          <w:tcPr>
            <w:tcW w:w="825" w:type="dxa"/>
            <w:tcBorders>
              <w:tl2br w:val="nil"/>
              <w:tr2bl w:val="nil"/>
            </w:tcBorders>
            <w:vAlign w:val="center"/>
          </w:tcPr>
          <w:p w14:paraId="5D26D506">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38" w:type="dxa"/>
            <w:tcBorders>
              <w:tl2br w:val="nil"/>
              <w:tr2bl w:val="nil"/>
            </w:tcBorders>
            <w:shd w:val="clear" w:color="auto" w:fill="auto"/>
            <w:vAlign w:val="center"/>
          </w:tcPr>
          <w:p w14:paraId="3388D119">
            <w:pPr>
              <w:widowControl/>
              <w:jc w:val="left"/>
              <w:rPr>
                <w:rFonts w:ascii="宋体" w:hAnsi="宋体" w:cs="宋体"/>
                <w:kern w:val="0"/>
                <w:sz w:val="24"/>
                <w:highlight w:val="none"/>
              </w:rPr>
            </w:pPr>
            <w:r>
              <w:rPr>
                <w:rFonts w:hint="eastAsia" w:ascii="宋体" w:hAnsi="宋体" w:cs="宋体"/>
                <w:kern w:val="0"/>
                <w:sz w:val="24"/>
                <w:highlight w:val="none"/>
              </w:rPr>
              <w:t>投标人总公司2023年第一季度万张保单投诉量情况，小于0.1件/万张的，得3分；0.1（含）至0.15件/万张的，得2分，0.15（含）至0.2件/万张的，得1分，0.2（含）件/万张以上本项不得分。以中国银保监会网站公布的数据为准，加盖投标人公章。http://www.cbirc.gov.cn/cn/view/pages/ItemDetail.html?docId=1093470&amp;itemId=925&amp;generaltype=0http://www.nfra.gov.cn/cn/view/pages/ItemDetail.html?docId=1113173&amp;itemId=915</w:t>
            </w:r>
          </w:p>
        </w:tc>
      </w:tr>
      <w:bookmarkEnd w:id="48"/>
      <w:tr w14:paraId="7CBC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280B2D39">
            <w:pPr>
              <w:widowControl/>
              <w:jc w:val="center"/>
              <w:rPr>
                <w:rFonts w:ascii="宋体" w:hAnsi="宋体" w:cs="宋体"/>
                <w:kern w:val="0"/>
                <w:sz w:val="24"/>
                <w:highlight w:val="none"/>
              </w:rPr>
            </w:pPr>
            <w:r>
              <w:rPr>
                <w:rFonts w:hint="eastAsia" w:ascii="宋体" w:hAnsi="宋体" w:cs="宋体"/>
                <w:kern w:val="0"/>
                <w:sz w:val="24"/>
                <w:highlight w:val="none"/>
              </w:rPr>
              <w:t>11</w:t>
            </w:r>
          </w:p>
        </w:tc>
        <w:tc>
          <w:tcPr>
            <w:tcW w:w="1617" w:type="dxa"/>
            <w:tcBorders>
              <w:tl2br w:val="nil"/>
              <w:tr2bl w:val="nil"/>
            </w:tcBorders>
            <w:shd w:val="clear" w:color="auto" w:fill="auto"/>
            <w:vAlign w:val="center"/>
          </w:tcPr>
          <w:p w14:paraId="6AE136B8">
            <w:pPr>
              <w:widowControl/>
              <w:jc w:val="center"/>
              <w:rPr>
                <w:rFonts w:ascii="宋体" w:hAnsi="宋体" w:cs="宋体"/>
                <w:kern w:val="0"/>
                <w:sz w:val="24"/>
                <w:highlight w:val="none"/>
              </w:rPr>
            </w:pPr>
            <w:r>
              <w:rPr>
                <w:rFonts w:hint="eastAsia" w:ascii="宋体" w:hAnsi="宋体" w:cs="宋体"/>
                <w:kern w:val="0"/>
                <w:sz w:val="24"/>
                <w:highlight w:val="none"/>
              </w:rPr>
              <w:t>疑难案件方案</w:t>
            </w:r>
          </w:p>
          <w:p w14:paraId="43EDB5E8">
            <w:pPr>
              <w:widowControl/>
              <w:jc w:val="center"/>
              <w:rPr>
                <w:rFonts w:ascii="宋体" w:hAnsi="宋体" w:cs="宋体"/>
                <w:kern w:val="0"/>
                <w:sz w:val="24"/>
                <w:highlight w:val="none"/>
              </w:rPr>
            </w:pPr>
          </w:p>
        </w:tc>
        <w:tc>
          <w:tcPr>
            <w:tcW w:w="825" w:type="dxa"/>
            <w:tcBorders>
              <w:tl2br w:val="nil"/>
              <w:tr2bl w:val="nil"/>
            </w:tcBorders>
            <w:vAlign w:val="center"/>
          </w:tcPr>
          <w:p w14:paraId="29F7A5BB">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38" w:type="dxa"/>
            <w:tcBorders>
              <w:tl2br w:val="nil"/>
              <w:tr2bl w:val="nil"/>
            </w:tcBorders>
            <w:shd w:val="clear" w:color="auto" w:fill="auto"/>
            <w:vAlign w:val="center"/>
          </w:tcPr>
          <w:p w14:paraId="6B450D7B">
            <w:pPr>
              <w:widowControl/>
              <w:jc w:val="left"/>
              <w:rPr>
                <w:rFonts w:ascii="宋体" w:hAnsi="宋体" w:cs="宋体"/>
                <w:kern w:val="0"/>
                <w:sz w:val="24"/>
                <w:highlight w:val="none"/>
              </w:rPr>
            </w:pPr>
            <w:r>
              <w:rPr>
                <w:rFonts w:hint="eastAsia" w:ascii="宋体" w:hAnsi="宋体" w:cs="宋体"/>
                <w:kern w:val="0"/>
                <w:sz w:val="24"/>
                <w:highlight w:val="none"/>
              </w:rPr>
              <w:t xml:space="preserve">根据投标人对疑难案件处理情况（包括但不限于具体的疑难案件以及具体的解决办法）方案合理，内容全面详细，分析到位进行评审。 </w:t>
            </w:r>
          </w:p>
          <w:p w14:paraId="7E7051AB">
            <w:pPr>
              <w:widowControl/>
              <w:jc w:val="left"/>
              <w:rPr>
                <w:rFonts w:ascii="宋体" w:hAnsi="宋体" w:cs="宋体"/>
                <w:kern w:val="0"/>
                <w:sz w:val="24"/>
                <w:highlight w:val="none"/>
              </w:rPr>
            </w:pPr>
            <w:r>
              <w:rPr>
                <w:rFonts w:hint="eastAsia" w:ascii="宋体" w:hAnsi="宋体" w:cs="宋体"/>
                <w:kern w:val="0"/>
                <w:sz w:val="24"/>
                <w:highlight w:val="none"/>
              </w:rPr>
              <w:t>方案完整、可行性高的得3-2.1分，</w:t>
            </w:r>
          </w:p>
          <w:p w14:paraId="4E5BADE5">
            <w:pPr>
              <w:widowControl/>
              <w:jc w:val="left"/>
              <w:rPr>
                <w:rFonts w:ascii="宋体" w:hAnsi="宋体" w:cs="宋体"/>
                <w:kern w:val="0"/>
                <w:sz w:val="24"/>
                <w:highlight w:val="none"/>
              </w:rPr>
            </w:pPr>
            <w:r>
              <w:rPr>
                <w:rFonts w:hint="eastAsia" w:ascii="宋体" w:hAnsi="宋体" w:cs="宋体"/>
                <w:kern w:val="0"/>
                <w:sz w:val="24"/>
                <w:highlight w:val="none"/>
              </w:rPr>
              <w:t>方案较为完整，可行性较好的得2-1.1分，</w:t>
            </w:r>
          </w:p>
          <w:p w14:paraId="6E69BEE8">
            <w:pPr>
              <w:widowControl/>
              <w:jc w:val="left"/>
              <w:rPr>
                <w:rFonts w:ascii="宋体" w:hAnsi="宋体" w:cs="宋体"/>
                <w:kern w:val="0"/>
                <w:sz w:val="24"/>
                <w:highlight w:val="none"/>
              </w:rPr>
            </w:pPr>
            <w:r>
              <w:rPr>
                <w:rFonts w:hint="eastAsia" w:ascii="宋体" w:hAnsi="宋体" w:cs="宋体"/>
                <w:kern w:val="0"/>
                <w:sz w:val="24"/>
                <w:highlight w:val="none"/>
              </w:rPr>
              <w:t>方案内容欠缺、可行性较差的得1-0.1分。</w:t>
            </w:r>
          </w:p>
          <w:p w14:paraId="4CF2794F">
            <w:pPr>
              <w:widowControl/>
              <w:jc w:val="left"/>
              <w:rPr>
                <w:rFonts w:ascii="宋体" w:hAnsi="宋体" w:cs="宋体"/>
                <w:kern w:val="0"/>
                <w:sz w:val="24"/>
                <w:highlight w:val="none"/>
              </w:rPr>
            </w:pPr>
            <w:r>
              <w:rPr>
                <w:rFonts w:hint="eastAsia" w:ascii="宋体" w:hAnsi="宋体" w:cs="宋体"/>
                <w:kern w:val="0"/>
                <w:sz w:val="24"/>
                <w:highlight w:val="none"/>
              </w:rPr>
              <w:t>缺项不得分。</w:t>
            </w:r>
          </w:p>
        </w:tc>
      </w:tr>
      <w:tr w14:paraId="2EF6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3F8250C1">
            <w:pPr>
              <w:widowControl/>
              <w:jc w:val="center"/>
              <w:rPr>
                <w:rFonts w:ascii="宋体" w:hAnsi="宋体" w:cs="宋体"/>
                <w:kern w:val="0"/>
                <w:sz w:val="24"/>
                <w:highlight w:val="none"/>
              </w:rPr>
            </w:pPr>
            <w:r>
              <w:rPr>
                <w:rFonts w:hint="eastAsia" w:ascii="宋体" w:hAnsi="宋体" w:cs="宋体"/>
                <w:kern w:val="0"/>
                <w:sz w:val="24"/>
                <w:highlight w:val="none"/>
              </w:rPr>
              <w:t>12</w:t>
            </w:r>
          </w:p>
        </w:tc>
        <w:tc>
          <w:tcPr>
            <w:tcW w:w="1617" w:type="dxa"/>
            <w:tcBorders>
              <w:tl2br w:val="nil"/>
              <w:tr2bl w:val="nil"/>
            </w:tcBorders>
            <w:shd w:val="clear" w:color="auto" w:fill="auto"/>
            <w:vAlign w:val="center"/>
          </w:tcPr>
          <w:p w14:paraId="40EE982C">
            <w:pPr>
              <w:widowControl/>
              <w:jc w:val="center"/>
              <w:rPr>
                <w:rFonts w:ascii="宋体" w:hAnsi="宋体" w:cs="宋体"/>
                <w:kern w:val="0"/>
                <w:sz w:val="24"/>
                <w:highlight w:val="none"/>
              </w:rPr>
            </w:pPr>
            <w:r>
              <w:rPr>
                <w:rFonts w:hint="eastAsia" w:ascii="宋体" w:hAnsi="宋体" w:cs="宋体"/>
                <w:kern w:val="0"/>
                <w:sz w:val="24"/>
                <w:highlight w:val="none"/>
              </w:rPr>
              <w:t>同类项目理赔经验</w:t>
            </w:r>
          </w:p>
        </w:tc>
        <w:tc>
          <w:tcPr>
            <w:tcW w:w="825" w:type="dxa"/>
            <w:tcBorders>
              <w:tl2br w:val="nil"/>
              <w:tr2bl w:val="nil"/>
            </w:tcBorders>
            <w:vAlign w:val="center"/>
          </w:tcPr>
          <w:p w14:paraId="25751BB2">
            <w:pPr>
              <w:widowControl/>
              <w:jc w:val="center"/>
              <w:rPr>
                <w:rFonts w:ascii="宋体" w:hAnsi="宋体" w:cs="宋体"/>
                <w:kern w:val="0"/>
                <w:sz w:val="24"/>
                <w:highlight w:val="none"/>
              </w:rPr>
            </w:pPr>
            <w:r>
              <w:rPr>
                <w:rFonts w:hint="eastAsia" w:ascii="宋体" w:hAnsi="宋体" w:cs="宋体"/>
                <w:kern w:val="0"/>
                <w:sz w:val="24"/>
                <w:highlight w:val="none"/>
              </w:rPr>
              <w:t>4</w:t>
            </w:r>
          </w:p>
        </w:tc>
        <w:tc>
          <w:tcPr>
            <w:tcW w:w="5138" w:type="dxa"/>
            <w:tcBorders>
              <w:tl2br w:val="nil"/>
              <w:tr2bl w:val="nil"/>
            </w:tcBorders>
            <w:shd w:val="clear" w:color="auto" w:fill="auto"/>
            <w:vAlign w:val="center"/>
          </w:tcPr>
          <w:p w14:paraId="35280C88">
            <w:pPr>
              <w:widowControl/>
              <w:jc w:val="left"/>
              <w:rPr>
                <w:rFonts w:ascii="宋体" w:hAnsi="宋体" w:cs="宋体"/>
                <w:kern w:val="0"/>
                <w:sz w:val="24"/>
                <w:highlight w:val="none"/>
              </w:rPr>
            </w:pPr>
            <w:r>
              <w:rPr>
                <w:rFonts w:hint="eastAsia" w:ascii="宋体" w:hAnsi="宋体" w:cs="宋体"/>
                <w:kern w:val="0"/>
                <w:sz w:val="24"/>
                <w:highlight w:val="none"/>
              </w:rPr>
              <w:t>参与招标的投标单位（包含各投标单位总公司在台州地区各分公司、支公司等）在台州地区类似理赔项目2024年合计赔款支出排名打分。第一名得4分，第二名得3分，依次递减1分，以此类推。</w:t>
            </w:r>
          </w:p>
          <w:p w14:paraId="7BA0E0C7">
            <w:pPr>
              <w:widowControl/>
              <w:jc w:val="left"/>
              <w:rPr>
                <w:rFonts w:ascii="宋体" w:hAnsi="宋体" w:cs="宋体"/>
                <w:kern w:val="0"/>
                <w:sz w:val="24"/>
                <w:highlight w:val="none"/>
              </w:rPr>
            </w:pPr>
          </w:p>
        </w:tc>
      </w:tr>
      <w:tr w14:paraId="00AA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71D17288">
            <w:pPr>
              <w:widowControl/>
              <w:jc w:val="center"/>
              <w:rPr>
                <w:rFonts w:ascii="宋体" w:hAnsi="宋体" w:cs="宋体"/>
                <w:kern w:val="0"/>
                <w:sz w:val="24"/>
                <w:highlight w:val="none"/>
              </w:rPr>
            </w:pPr>
            <w:r>
              <w:rPr>
                <w:rFonts w:hint="eastAsia" w:ascii="宋体" w:hAnsi="宋体" w:cs="宋体"/>
                <w:kern w:val="0"/>
                <w:sz w:val="24"/>
                <w:highlight w:val="none"/>
              </w:rPr>
              <w:t>13</w:t>
            </w:r>
          </w:p>
        </w:tc>
        <w:tc>
          <w:tcPr>
            <w:tcW w:w="1617" w:type="dxa"/>
            <w:tcBorders>
              <w:tl2br w:val="nil"/>
              <w:tr2bl w:val="nil"/>
            </w:tcBorders>
            <w:vAlign w:val="center"/>
          </w:tcPr>
          <w:p w14:paraId="33CCC100">
            <w:pPr>
              <w:widowControl/>
              <w:jc w:val="center"/>
              <w:rPr>
                <w:rFonts w:ascii="宋体" w:hAnsi="宋体" w:cs="宋体"/>
                <w:kern w:val="0"/>
                <w:sz w:val="24"/>
                <w:highlight w:val="none"/>
              </w:rPr>
            </w:pPr>
            <w:r>
              <w:rPr>
                <w:rFonts w:hint="eastAsia" w:ascii="宋体" w:hAnsi="宋体" w:cs="宋体"/>
                <w:kern w:val="0"/>
                <w:sz w:val="24"/>
                <w:highlight w:val="none"/>
              </w:rPr>
              <w:t>同类项目承保经验</w:t>
            </w:r>
          </w:p>
        </w:tc>
        <w:tc>
          <w:tcPr>
            <w:tcW w:w="825" w:type="dxa"/>
            <w:tcBorders>
              <w:tl2br w:val="nil"/>
              <w:tr2bl w:val="nil"/>
            </w:tcBorders>
            <w:vAlign w:val="center"/>
          </w:tcPr>
          <w:p w14:paraId="55D66FBB">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5138" w:type="dxa"/>
            <w:tcBorders>
              <w:tl2br w:val="nil"/>
              <w:tr2bl w:val="nil"/>
            </w:tcBorders>
            <w:vAlign w:val="center"/>
          </w:tcPr>
          <w:p w14:paraId="6B86A286">
            <w:pPr>
              <w:widowControl/>
              <w:jc w:val="left"/>
              <w:rPr>
                <w:rFonts w:ascii="宋体" w:hAnsi="宋体" w:cs="宋体"/>
                <w:kern w:val="0"/>
                <w:sz w:val="24"/>
                <w:highlight w:val="none"/>
              </w:rPr>
            </w:pPr>
            <w:r>
              <w:rPr>
                <w:rFonts w:hint="eastAsia" w:ascii="宋体" w:hAnsi="宋体" w:cs="宋体"/>
                <w:kern w:val="0"/>
                <w:sz w:val="24"/>
                <w:highlight w:val="none"/>
              </w:rPr>
              <w:t>参与招标的投标单位（包含各投标单位总公司在台州地区各分公司、支公司等）在台州地区2017年1月1日以来类似团队车辆保险承保项目排名打分，拥有单个保费金额100万（含100万）以上车辆保险承保项目7个及以上的得5分，每少一个依次扣减2分，以此类推。未提供合同或协议，不得分。</w:t>
            </w:r>
          </w:p>
        </w:tc>
      </w:tr>
      <w:tr w14:paraId="29F7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181" w:type="dxa"/>
            <w:gridSpan w:val="2"/>
            <w:tcBorders>
              <w:tl2br w:val="nil"/>
              <w:tr2bl w:val="nil"/>
            </w:tcBorders>
            <w:vAlign w:val="center"/>
          </w:tcPr>
          <w:p w14:paraId="1C6E7714">
            <w:pPr>
              <w:widowControl/>
              <w:jc w:val="center"/>
              <w:rPr>
                <w:rFonts w:ascii="宋体" w:hAnsi="宋体" w:cs="宋体"/>
                <w:kern w:val="0"/>
                <w:sz w:val="24"/>
                <w:highlight w:val="none"/>
              </w:rPr>
            </w:pPr>
            <w:r>
              <w:rPr>
                <w:rFonts w:hint="eastAsia" w:ascii="宋体" w:hAnsi="宋体" w:cs="宋体"/>
                <w:kern w:val="0"/>
                <w:sz w:val="24"/>
                <w:highlight w:val="none"/>
              </w:rPr>
              <w:t>报价</w:t>
            </w:r>
          </w:p>
        </w:tc>
        <w:tc>
          <w:tcPr>
            <w:tcW w:w="825" w:type="dxa"/>
            <w:tcBorders>
              <w:tl2br w:val="nil"/>
              <w:tr2bl w:val="nil"/>
            </w:tcBorders>
            <w:vAlign w:val="center"/>
          </w:tcPr>
          <w:p w14:paraId="07DCBC3D">
            <w:pPr>
              <w:widowControl/>
              <w:jc w:val="center"/>
              <w:rPr>
                <w:rFonts w:ascii="宋体" w:hAnsi="宋体" w:cs="宋体"/>
                <w:kern w:val="0"/>
                <w:sz w:val="24"/>
                <w:highlight w:val="none"/>
              </w:rPr>
            </w:pPr>
            <w:r>
              <w:rPr>
                <w:rFonts w:hint="eastAsia" w:ascii="宋体" w:hAnsi="宋体" w:cs="宋体"/>
                <w:kern w:val="0"/>
                <w:sz w:val="24"/>
                <w:highlight w:val="none"/>
              </w:rPr>
              <w:t>30</w:t>
            </w:r>
          </w:p>
        </w:tc>
        <w:tc>
          <w:tcPr>
            <w:tcW w:w="5138" w:type="dxa"/>
            <w:tcBorders>
              <w:tl2br w:val="nil"/>
              <w:tr2bl w:val="nil"/>
            </w:tcBorders>
            <w:vAlign w:val="center"/>
          </w:tcPr>
          <w:p w14:paraId="69BCDCA9">
            <w:pPr>
              <w:widowControl/>
              <w:jc w:val="left"/>
              <w:rPr>
                <w:rFonts w:ascii="宋体" w:hAnsi="宋体" w:cs="宋体"/>
                <w:kern w:val="0"/>
                <w:sz w:val="24"/>
                <w:highlight w:val="none"/>
              </w:rPr>
            </w:pPr>
            <w:r>
              <w:rPr>
                <w:rFonts w:hint="eastAsia" w:ascii="宋体" w:hAnsi="宋体" w:cs="宋体"/>
                <w:kern w:val="0"/>
                <w:sz w:val="24"/>
                <w:highlight w:val="none"/>
              </w:rPr>
              <w:t>各项报价（折扣率）分值为：1.</w:t>
            </w:r>
            <w:r>
              <w:rPr>
                <w:rFonts w:hint="eastAsia" w:ascii="宋体" w:hAnsi="宋体" w:cs="宋体"/>
                <w:sz w:val="24"/>
                <w:highlight w:val="none"/>
              </w:rPr>
              <w:t>营业客车自主定价10分；2.非营业客车自主定价10分；3.非营业货车自主定价10分</w:t>
            </w:r>
            <w:r>
              <w:rPr>
                <w:rFonts w:hint="eastAsia" w:ascii="宋体" w:hAnsi="宋体" w:cs="宋体"/>
                <w:kern w:val="0"/>
                <w:sz w:val="24"/>
                <w:highlight w:val="none"/>
              </w:rPr>
              <w:t>。各项报价分别计算，</w:t>
            </w:r>
            <w:r>
              <w:rPr>
                <w:rFonts w:hint="eastAsia" w:ascii="宋体" w:hAnsi="宋体" w:cs="宋体"/>
                <w:sz w:val="24"/>
                <w:highlight w:val="none"/>
              </w:rPr>
              <w:t>最低折扣率得满分，折扣率按从低到高依次减0.5分，</w:t>
            </w:r>
            <w:r>
              <w:rPr>
                <w:rFonts w:hint="eastAsia" w:ascii="宋体" w:hAnsi="宋体" w:cs="宋体"/>
                <w:sz w:val="24"/>
                <w:highlight w:val="none"/>
                <w:lang w:eastAsia="zh-CN"/>
              </w:rPr>
              <w:t>如</w:t>
            </w:r>
            <w:r>
              <w:rPr>
                <w:rFonts w:hint="eastAsia" w:ascii="宋体" w:hAnsi="宋体" w:cs="宋体"/>
                <w:sz w:val="24"/>
                <w:highlight w:val="none"/>
                <w:lang w:val="en-US" w:eastAsia="zh-CN"/>
              </w:rPr>
              <w:t>报价相同则得分相同，其余依次递减，</w:t>
            </w:r>
            <w:r>
              <w:rPr>
                <w:rFonts w:hint="eastAsia" w:ascii="宋体" w:hAnsi="宋体" w:cs="宋体"/>
                <w:sz w:val="24"/>
                <w:highlight w:val="none"/>
              </w:rPr>
              <w:t>减完为止，各项得分之和为最终得分。</w:t>
            </w:r>
            <w:r>
              <w:rPr>
                <w:rFonts w:hint="eastAsia" w:ascii="宋体" w:hAnsi="宋体" w:cs="宋体"/>
                <w:kern w:val="0"/>
                <w:sz w:val="24"/>
                <w:highlight w:val="none"/>
              </w:rPr>
              <w:t>此报价为</w:t>
            </w:r>
            <w:r>
              <w:rPr>
                <w:rFonts w:hint="eastAsia" w:ascii="宋体" w:hAnsi="宋体" w:cs="宋体"/>
                <w:kern w:val="0"/>
                <w:sz w:val="24"/>
                <w:highlight w:val="none"/>
                <w:lang w:val="en-US" w:eastAsia="zh-CN"/>
              </w:rPr>
              <w:t>投标人</w:t>
            </w:r>
            <w:r>
              <w:rPr>
                <w:rFonts w:hint="eastAsia" w:ascii="宋体" w:hAnsi="宋体" w:cs="宋体"/>
                <w:kern w:val="0"/>
                <w:sz w:val="24"/>
                <w:highlight w:val="none"/>
              </w:rPr>
              <w:t>一次性报出唯一的最终价格。</w:t>
            </w:r>
          </w:p>
        </w:tc>
      </w:tr>
    </w:tbl>
    <w:p w14:paraId="6713E444">
      <w:pPr>
        <w:pStyle w:val="11"/>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2.评审要求</w:t>
      </w:r>
    </w:p>
    <w:p w14:paraId="1F91F70A">
      <w:pPr>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（1）评标委员会应当按照招标文件中规定的评标方法和标准，对符合性审查合格的投标文件的商务部分和技术部分进行综合比较与评价，其中</w:t>
      </w:r>
      <w:r>
        <w:rPr>
          <w:rFonts w:hint="eastAsia" w:ascii="宋体"/>
          <w:bCs/>
          <w:sz w:val="24"/>
          <w:highlight w:val="none"/>
          <w:lang w:val="zh-CN"/>
        </w:rPr>
        <w:t>客观</w:t>
      </w:r>
      <w:r>
        <w:rPr>
          <w:rFonts w:hint="eastAsia" w:ascii="宋体"/>
          <w:bCs/>
          <w:sz w:val="24"/>
          <w:highlight w:val="none"/>
        </w:rPr>
        <w:t>评分项的分值</w:t>
      </w:r>
      <w:r>
        <w:rPr>
          <w:rFonts w:hint="eastAsia" w:ascii="宋体"/>
          <w:bCs/>
          <w:sz w:val="24"/>
          <w:highlight w:val="none"/>
          <w:lang w:val="zh-CN"/>
        </w:rPr>
        <w:t>应当一致。</w:t>
      </w:r>
    </w:p>
    <w:p w14:paraId="47B28130">
      <w:pPr>
        <w:spacing w:line="360" w:lineRule="auto"/>
        <w:ind w:firstLine="480" w:firstLineChars="200"/>
        <w:rPr>
          <w:rFonts w:ascii="宋体" w:hAnsi="宋体" w:cs="宋体"/>
          <w:sz w:val="24"/>
          <w:highlight w:val="none"/>
        </w:rPr>
      </w:pPr>
      <w:r>
        <w:rPr>
          <w:rFonts w:hint="eastAsia" w:ascii="宋体" w:hAnsi="宋体" w:cs="宋体"/>
          <w:sz w:val="24"/>
          <w:highlight w:val="none"/>
        </w:rPr>
        <w:t>（2）对于投标文件报价出现前后不一致的，除招标文件另有规定外，按照下列规定修正：</w:t>
      </w:r>
    </w:p>
    <w:p w14:paraId="4D545052">
      <w:pPr>
        <w:spacing w:line="360" w:lineRule="auto"/>
        <w:ind w:firstLine="480" w:firstLineChars="200"/>
        <w:rPr>
          <w:rFonts w:ascii="宋体" w:hAnsi="宋体" w:cs="宋体"/>
          <w:sz w:val="24"/>
          <w:highlight w:val="none"/>
        </w:rPr>
      </w:pPr>
      <w:r>
        <w:rPr>
          <w:rFonts w:hint="eastAsia" w:ascii="宋体" w:hAnsi="宋体" w:cs="宋体"/>
          <w:sz w:val="24"/>
          <w:highlight w:val="none"/>
        </w:rPr>
        <w:t>①“台州市智慧招采云平台”上开启的投标报价与电子投标文件中开标一览表（报价表）内容不一致的，以电报价子投标文件中开标一览表（表）为准；</w:t>
      </w:r>
    </w:p>
    <w:p w14:paraId="1909B3FE">
      <w:pPr>
        <w:spacing w:line="360" w:lineRule="auto"/>
        <w:ind w:firstLine="480" w:firstLineChars="200"/>
        <w:rPr>
          <w:rFonts w:ascii="宋体" w:hAnsi="宋体" w:cs="宋体"/>
          <w:sz w:val="24"/>
          <w:highlight w:val="none"/>
        </w:rPr>
      </w:pPr>
      <w:r>
        <w:rPr>
          <w:rFonts w:hint="eastAsia" w:ascii="宋体" w:hAnsi="宋体" w:cs="宋体"/>
          <w:sz w:val="24"/>
          <w:highlight w:val="none"/>
        </w:rPr>
        <w:t>②投标文件中开标一览表（报价表）内容与投标文件中相应内容不一致的，以开标一览表（报价表）为准；</w:t>
      </w:r>
    </w:p>
    <w:p w14:paraId="610CD831">
      <w:pPr>
        <w:spacing w:line="360" w:lineRule="auto"/>
        <w:ind w:firstLine="480" w:firstLineChars="200"/>
        <w:rPr>
          <w:rFonts w:ascii="宋体" w:hAnsi="宋体" w:cs="宋体"/>
          <w:sz w:val="24"/>
          <w:highlight w:val="none"/>
        </w:rPr>
      </w:pPr>
      <w:r>
        <w:rPr>
          <w:rFonts w:hint="eastAsia" w:ascii="宋体" w:hAnsi="宋体" w:cs="宋体"/>
          <w:sz w:val="24"/>
          <w:highlight w:val="none"/>
        </w:rPr>
        <w:t>③大写金额和小写金额不一致的，以大写金额为准；</w:t>
      </w:r>
    </w:p>
    <w:p w14:paraId="6F52AE18">
      <w:pPr>
        <w:spacing w:line="360" w:lineRule="auto"/>
        <w:ind w:firstLine="480" w:firstLineChars="200"/>
        <w:rPr>
          <w:rFonts w:ascii="宋体" w:hAnsi="宋体" w:cs="宋体"/>
          <w:sz w:val="24"/>
          <w:highlight w:val="none"/>
        </w:rPr>
      </w:pPr>
      <w:r>
        <w:rPr>
          <w:rFonts w:hint="eastAsia" w:ascii="宋体" w:hAnsi="宋体" w:cs="宋体"/>
          <w:sz w:val="24"/>
          <w:highlight w:val="none"/>
        </w:rPr>
        <w:t>④单价金额小数点或者百分比有明显错位的，以开标一览表的总价为准，并修改单价；</w:t>
      </w:r>
    </w:p>
    <w:p w14:paraId="5C0A8FB7">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GB3 \* MERGEFORMAT </w:instrText>
      </w:r>
      <w:r>
        <w:rPr>
          <w:rFonts w:hint="eastAsia" w:ascii="宋体" w:hAnsi="宋体" w:cs="宋体"/>
          <w:sz w:val="24"/>
          <w:highlight w:val="none"/>
        </w:rPr>
        <w:fldChar w:fldCharType="separate"/>
      </w:r>
      <w:r>
        <w:rPr>
          <w:highlight w:val="none"/>
        </w:rPr>
        <w:t>⑤</w:t>
      </w:r>
      <w:r>
        <w:rPr>
          <w:rFonts w:hint="eastAsia" w:ascii="宋体" w:hAnsi="宋体" w:cs="宋体"/>
          <w:sz w:val="24"/>
          <w:highlight w:val="none"/>
        </w:rPr>
        <w:fldChar w:fldCharType="end"/>
      </w:r>
      <w:r>
        <w:rPr>
          <w:rFonts w:hint="eastAsia" w:ascii="宋体" w:hAnsi="宋体" w:cs="宋体"/>
          <w:sz w:val="24"/>
          <w:highlight w:val="none"/>
        </w:rPr>
        <w:t>总价金额与按单价汇总金额不一致的，以单价金额计算结果为准。</w:t>
      </w:r>
    </w:p>
    <w:p w14:paraId="3AD7A74D">
      <w:pPr>
        <w:spacing w:line="360" w:lineRule="auto"/>
        <w:ind w:firstLine="480" w:firstLineChars="200"/>
        <w:rPr>
          <w:rFonts w:ascii="宋体" w:hAnsi="宋体" w:cs="宋体"/>
          <w:sz w:val="24"/>
          <w:highlight w:val="none"/>
        </w:rPr>
      </w:pPr>
      <w:r>
        <w:rPr>
          <w:rFonts w:hint="eastAsia" w:ascii="宋体" w:hAnsi="宋体" w:cs="宋体"/>
          <w:sz w:val="24"/>
          <w:highlight w:val="none"/>
        </w:rPr>
        <w:t>同时出现两种以上不一致的，按照前款规定的顺序修正。修正应当采用询标的形式，并加盖公章。</w:t>
      </w:r>
    </w:p>
    <w:p w14:paraId="31D9972A">
      <w:pPr>
        <w:spacing w:line="360" w:lineRule="auto"/>
        <w:ind w:firstLine="480" w:firstLineChars="200"/>
        <w:rPr>
          <w:rFonts w:ascii="宋体" w:hAnsi="宋体" w:cs="宋体"/>
          <w:sz w:val="24"/>
          <w:highlight w:val="none"/>
        </w:rPr>
      </w:pPr>
      <w:r>
        <w:rPr>
          <w:rFonts w:hint="eastAsia" w:ascii="宋体" w:hAnsi="宋体" w:cs="宋体"/>
          <w:sz w:val="24"/>
          <w:highlight w:val="none"/>
        </w:rPr>
        <w:t>（3）对于投标文件中含义不明确、同类问题表述不一致或者有明显文字和计算错误的内容，评标委员会应当要求投标人作出必要的澄清、说明或者补正。</w:t>
      </w:r>
    </w:p>
    <w:p w14:paraId="26134ECE">
      <w:pPr>
        <w:spacing w:line="360" w:lineRule="auto"/>
        <w:ind w:firstLine="480" w:firstLineChars="200"/>
        <w:rPr>
          <w:rFonts w:ascii="宋体" w:hAnsi="宋体" w:cs="宋体"/>
          <w:sz w:val="24"/>
          <w:highlight w:val="none"/>
        </w:rPr>
      </w:pPr>
      <w:r>
        <w:rPr>
          <w:rFonts w:hint="eastAsia" w:ascii="宋体" w:hAnsi="宋体" w:cs="宋体"/>
          <w:sz w:val="24"/>
          <w:highlight w:val="none"/>
        </w:rPr>
        <w:t>（4）投标人的澄清、说明或者补正采用书面形式，并加盖公章或者由法定代表人或授权代表签字，且不得超出投标文件的范围或者改变投标文件的实质性内容。</w:t>
      </w:r>
    </w:p>
    <w:p w14:paraId="500F6EBF">
      <w:pPr>
        <w:spacing w:line="360" w:lineRule="auto"/>
        <w:ind w:firstLine="482" w:firstLineChars="200"/>
        <w:rPr>
          <w:rFonts w:ascii="宋体"/>
          <w:sz w:val="24"/>
          <w:highlight w:val="none"/>
        </w:rPr>
      </w:pPr>
      <w:r>
        <w:rPr>
          <w:rFonts w:hint="eastAsia" w:ascii="宋体" w:hAnsi="宋体" w:cs="宋体"/>
          <w:b/>
          <w:bCs/>
          <w:sz w:val="24"/>
          <w:highlight w:val="none"/>
        </w:rPr>
        <w:t>（四）结果汇总及排序</w:t>
      </w:r>
    </w:p>
    <w:p w14:paraId="4D341A43">
      <w:pPr>
        <w:spacing w:line="360" w:lineRule="auto"/>
        <w:ind w:firstLine="480" w:firstLineChars="200"/>
        <w:rPr>
          <w:rFonts w:ascii="宋体" w:hAnsi="宋体" w:cs="宋体"/>
          <w:sz w:val="24"/>
          <w:highlight w:val="none"/>
        </w:rPr>
      </w:pPr>
      <w:r>
        <w:rPr>
          <w:rFonts w:hint="eastAsia" w:ascii="宋体" w:hAnsi="宋体" w:cs="宋体"/>
          <w:sz w:val="24"/>
          <w:highlight w:val="none"/>
        </w:rPr>
        <w:t>本项目推荐二名中标候选人。评标结果按评审后综合得分由高到低顺序排列。</w:t>
      </w:r>
      <w:r>
        <w:rPr>
          <w:rFonts w:hint="eastAsia" w:ascii="宋体" w:hAnsi="宋体" w:cs="宋体"/>
          <w:sz w:val="24"/>
          <w:highlight w:val="none"/>
          <w:lang w:val="zh-CN"/>
        </w:rPr>
        <w:t>得分相同</w:t>
      </w:r>
      <w:r>
        <w:rPr>
          <w:rFonts w:hint="eastAsia" w:ascii="宋体" w:hAnsi="宋体" w:cs="宋体"/>
          <w:sz w:val="24"/>
          <w:highlight w:val="none"/>
        </w:rPr>
        <w:t>的</w:t>
      </w:r>
      <w:r>
        <w:rPr>
          <w:rFonts w:hint="eastAsia" w:ascii="宋体" w:hAnsi="宋体" w:cs="宋体"/>
          <w:sz w:val="24"/>
          <w:highlight w:val="none"/>
          <w:lang w:val="zh-CN"/>
        </w:rPr>
        <w:t>，</w:t>
      </w:r>
      <w:r>
        <w:rPr>
          <w:rFonts w:hint="eastAsia" w:ascii="宋体" w:hAnsi="宋体" w:cs="宋体"/>
          <w:sz w:val="24"/>
          <w:highlight w:val="none"/>
        </w:rPr>
        <w:t>按</w:t>
      </w:r>
      <w:r>
        <w:rPr>
          <w:rFonts w:hint="eastAsia" w:ascii="宋体" w:hAnsi="宋体" w:cs="宋体"/>
          <w:sz w:val="24"/>
          <w:highlight w:val="none"/>
          <w:lang w:val="zh-CN"/>
        </w:rPr>
        <w:t>投标报价</w:t>
      </w:r>
      <w:r>
        <w:rPr>
          <w:rFonts w:hint="eastAsia" w:ascii="宋体" w:hAnsi="宋体" w:cs="宋体"/>
          <w:sz w:val="24"/>
          <w:highlight w:val="none"/>
        </w:rPr>
        <w:t>由</w:t>
      </w:r>
      <w:r>
        <w:rPr>
          <w:rFonts w:hint="eastAsia" w:ascii="宋体" w:hAnsi="宋体" w:cs="宋体"/>
          <w:sz w:val="24"/>
          <w:highlight w:val="none"/>
          <w:lang w:val="zh-CN"/>
        </w:rPr>
        <w:t>低</w:t>
      </w:r>
      <w:r>
        <w:rPr>
          <w:rFonts w:hint="eastAsia" w:ascii="宋体" w:hAnsi="宋体" w:cs="宋体"/>
          <w:sz w:val="24"/>
          <w:highlight w:val="none"/>
        </w:rPr>
        <w:t>到高顺序排列。</w:t>
      </w:r>
      <w:r>
        <w:rPr>
          <w:rFonts w:hint="eastAsia" w:ascii="宋体" w:hAnsi="宋体" w:cs="宋体"/>
          <w:sz w:val="24"/>
          <w:highlight w:val="none"/>
          <w:lang w:val="zh-CN"/>
        </w:rPr>
        <w:t>得分且投标报价相同的</w:t>
      </w:r>
      <w:r>
        <w:rPr>
          <w:rFonts w:hint="eastAsia" w:ascii="宋体" w:hAnsi="宋体" w:cs="宋体"/>
          <w:sz w:val="24"/>
          <w:highlight w:val="none"/>
        </w:rPr>
        <w:t>并列</w:t>
      </w:r>
      <w:r>
        <w:rPr>
          <w:rFonts w:hint="eastAsia" w:ascii="宋体" w:hAnsi="宋体" w:cs="宋体"/>
          <w:sz w:val="24"/>
          <w:highlight w:val="none"/>
          <w:lang w:val="zh-CN"/>
        </w:rPr>
        <w:t>。</w:t>
      </w:r>
      <w:r>
        <w:rPr>
          <w:rFonts w:hint="eastAsia" w:ascii="宋体" w:hAnsi="宋体" w:cs="宋体"/>
          <w:sz w:val="24"/>
          <w:highlight w:val="none"/>
        </w:rPr>
        <w:t>投标文件满足招标文件全部实质性要求，且按照评审因素的量化指标评审得分最高的投标人为排名最高的第一中标候选人,</w:t>
      </w:r>
      <w:r>
        <w:rPr>
          <w:rFonts w:hint="eastAsia" w:hAnsi="宋体"/>
          <w:bCs/>
          <w:sz w:val="24"/>
          <w:highlight w:val="none"/>
        </w:rPr>
        <w:t>次高的为第二中标候选人</w:t>
      </w:r>
      <w:r>
        <w:rPr>
          <w:rFonts w:hint="eastAsia" w:ascii="宋体" w:hAnsi="宋体" w:cs="宋体"/>
          <w:sz w:val="24"/>
          <w:highlight w:val="none"/>
        </w:rPr>
        <w:t>。</w:t>
      </w:r>
    </w:p>
    <w:p w14:paraId="23346B3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（五）评标报告撰写</w:t>
      </w:r>
    </w:p>
    <w:p w14:paraId="130E343F">
      <w:pPr>
        <w:spacing w:line="360" w:lineRule="auto"/>
        <w:ind w:firstLine="480" w:firstLineChars="200"/>
        <w:rPr>
          <w:rFonts w:ascii="宋体" w:hAnsi="宋体" w:cs="宋体"/>
          <w:sz w:val="24"/>
          <w:highlight w:val="none"/>
        </w:rPr>
      </w:pPr>
      <w:r>
        <w:rPr>
          <w:rFonts w:hint="eastAsia" w:ascii="宋体" w:hAnsi="宋体" w:cs="宋体"/>
          <w:sz w:val="24"/>
          <w:highlight w:val="none"/>
        </w:rPr>
        <w:t>评标委员会根据全体评标成员签字的原始评标记录和评标结果编写评标报告。</w:t>
      </w:r>
    </w:p>
    <w:p w14:paraId="63DA762B">
      <w:pPr>
        <w:pStyle w:val="34"/>
        <w:spacing w:line="360" w:lineRule="auto"/>
        <w:rPr>
          <w:highlight w:val="none"/>
        </w:rPr>
      </w:pPr>
    </w:p>
    <w:p w14:paraId="272FBA41">
      <w:pPr>
        <w:pStyle w:val="30"/>
        <w:rPr>
          <w:rFonts w:hint="default" w:asciiTheme="minorEastAsia" w:hAnsiTheme="minorEastAsia" w:eastAsiaTheme="minorEastAsia"/>
          <w:b/>
          <w:sz w:val="36"/>
          <w:szCs w:val="36"/>
          <w:highlight w:val="none"/>
        </w:rPr>
      </w:pPr>
      <w:bookmarkStart w:id="49" w:name="_Toc27944_WPSOffice_Level1"/>
    </w:p>
    <w:p w14:paraId="1E676269">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14:paraId="22DB0572">
      <w:p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 xml:space="preserve">第五章 </w:t>
      </w:r>
      <w:bookmarkEnd w:id="49"/>
      <w:r>
        <w:rPr>
          <w:rFonts w:hint="eastAsia" w:asciiTheme="minorEastAsia" w:hAnsiTheme="minorEastAsia" w:eastAsiaTheme="minorEastAsia"/>
          <w:b/>
          <w:sz w:val="36"/>
          <w:szCs w:val="36"/>
          <w:highlight w:val="none"/>
        </w:rPr>
        <w:t>拟签订的合同文本</w:t>
      </w:r>
    </w:p>
    <w:p w14:paraId="04C9C4D6">
      <w:pPr>
        <w:snapToGrid w:val="0"/>
        <w:spacing w:beforeLines="50" w:afterLines="50" w:line="400" w:lineRule="exact"/>
        <w:jc w:val="center"/>
        <w:rPr>
          <w:rFonts w:ascii="宋体" w:hAnsi="宋体" w:cs="宋体"/>
          <w:b/>
          <w:bCs/>
          <w:sz w:val="24"/>
          <w:highlight w:val="none"/>
        </w:rPr>
      </w:pPr>
      <w:bookmarkStart w:id="50" w:name="_Toc5481_WPSOffice_Level1"/>
      <w:r>
        <w:rPr>
          <w:rFonts w:hint="eastAsia" w:ascii="宋体" w:hAnsi="宋体" w:cs="宋体"/>
          <w:b/>
          <w:sz w:val="24"/>
          <w:highlight w:val="none"/>
        </w:rPr>
        <w:t>（此稿为合同样本、以最终合同为准）</w:t>
      </w:r>
    </w:p>
    <w:p w14:paraId="5872395E">
      <w:pPr>
        <w:pStyle w:val="11"/>
        <w:tabs>
          <w:tab w:val="left" w:pos="1620"/>
        </w:tabs>
        <w:snapToGrid w:val="0"/>
        <w:spacing w:before="156" w:after="156" w:line="360" w:lineRule="auto"/>
        <w:ind w:left="1557" w:leftChars="170" w:hanging="1200" w:hangingChars="500"/>
        <w:rPr>
          <w:rFonts w:hAnsi="宋体" w:cs="宋体"/>
          <w:sz w:val="24"/>
          <w:highlight w:val="none"/>
        </w:rPr>
      </w:pPr>
      <w:r>
        <w:rPr>
          <w:rFonts w:hint="eastAsia" w:hAnsi="宋体" w:cs="宋体"/>
          <w:sz w:val="24"/>
          <w:highlight w:val="none"/>
        </w:rPr>
        <w:t xml:space="preserve">项目名称：浙江金豹运业有限公司车辆保险采购                                       </w:t>
      </w:r>
    </w:p>
    <w:p w14:paraId="7DDAC085">
      <w:pPr>
        <w:snapToGrid w:val="0"/>
        <w:spacing w:line="360" w:lineRule="auto"/>
        <w:ind w:left="1077" w:leftChars="170" w:hanging="720" w:hangingChars="300"/>
        <w:rPr>
          <w:rFonts w:ascii="宋体" w:hAnsi="宋体" w:cs="宋体"/>
          <w:sz w:val="24"/>
          <w:highlight w:val="none"/>
        </w:rPr>
      </w:pPr>
      <w:r>
        <w:rPr>
          <w:rFonts w:hint="eastAsia" w:ascii="宋体" w:hAnsi="宋体" w:cs="宋体"/>
          <w:sz w:val="24"/>
          <w:highlight w:val="none"/>
        </w:rPr>
        <w:t>甲方：浙江金豹运业有限公司</w:t>
      </w:r>
    </w:p>
    <w:p w14:paraId="706386D1">
      <w:pPr>
        <w:snapToGrid w:val="0"/>
        <w:spacing w:line="360" w:lineRule="auto"/>
        <w:ind w:left="1077" w:leftChars="170" w:hanging="720" w:hangingChars="300"/>
        <w:rPr>
          <w:rFonts w:ascii="宋体" w:hAnsi="宋体" w:cs="宋体"/>
          <w:sz w:val="24"/>
          <w:highlight w:val="none"/>
        </w:rPr>
      </w:pPr>
      <w:r>
        <w:rPr>
          <w:rFonts w:hint="eastAsia" w:ascii="宋体" w:hAnsi="宋体" w:cs="宋体"/>
          <w:sz w:val="24"/>
          <w:highlight w:val="none"/>
        </w:rPr>
        <w:t>乙方：</w:t>
      </w:r>
    </w:p>
    <w:p w14:paraId="131C07F0">
      <w:pPr>
        <w:pStyle w:val="11"/>
        <w:snapToGrid w:val="0"/>
        <w:spacing w:before="156" w:after="156" w:line="360" w:lineRule="auto"/>
        <w:ind w:firstLine="480" w:firstLineChars="200"/>
        <w:rPr>
          <w:rFonts w:hAnsi="宋体" w:cs="宋体"/>
          <w:sz w:val="24"/>
          <w:highlight w:val="none"/>
        </w:rPr>
      </w:pPr>
      <w:r>
        <w:rPr>
          <w:rFonts w:hint="eastAsia" w:hAnsi="宋体" w:cs="宋体"/>
          <w:sz w:val="24"/>
          <w:highlight w:val="none"/>
        </w:rPr>
        <w:t>甲、乙双方根据浙江金豹运业有限公司车辆保险采购公开招标（项目编号：        ）的结果及招标文件要求，并依照《中华人民共和国民法典》、《中华人民共和国保险法》及其他有关法律、行政法规的规定，同时在公正、公平、诚实、信用和自愿的基础上，经双方协商一致，订立本合同，供双方共同遵守。</w:t>
      </w:r>
    </w:p>
    <w:p w14:paraId="19C8E3DA">
      <w:pPr>
        <w:spacing w:line="360" w:lineRule="auto"/>
        <w:outlineLvl w:val="1"/>
        <w:rPr>
          <w:rFonts w:ascii="宋体" w:hAnsi="宋体" w:cs="宋体"/>
          <w:b/>
          <w:sz w:val="24"/>
          <w:highlight w:val="none"/>
        </w:rPr>
      </w:pPr>
      <w:r>
        <w:rPr>
          <w:rFonts w:hint="eastAsia" w:ascii="宋体" w:hAnsi="宋体" w:cs="宋体"/>
          <w:b/>
          <w:sz w:val="24"/>
          <w:highlight w:val="none"/>
        </w:rPr>
        <w:t>一、服务内容及要求</w:t>
      </w:r>
    </w:p>
    <w:p w14:paraId="48BD0E26">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lang w:val="zh-CN"/>
        </w:rPr>
        <w:t>乙方负责甲方交强险、车辆损失险、第三者责任险、承运人责任险</w:t>
      </w:r>
      <w:r>
        <w:rPr>
          <w:rFonts w:hint="eastAsia" w:ascii="宋体" w:hAnsi="宋体" w:cs="宋体"/>
          <w:sz w:val="24"/>
          <w:highlight w:val="none"/>
        </w:rPr>
        <w:t>4个险种</w:t>
      </w:r>
      <w:r>
        <w:rPr>
          <w:rFonts w:hint="eastAsia" w:ascii="宋体" w:hAnsi="宋体" w:cs="宋体"/>
          <w:sz w:val="24"/>
          <w:highlight w:val="none"/>
          <w:lang w:val="zh-CN"/>
        </w:rPr>
        <w:t>的承保、理赔及其服务。投保</w:t>
      </w:r>
      <w:r>
        <w:rPr>
          <w:rFonts w:hint="eastAsia" w:ascii="宋体" w:hAnsi="宋体" w:cs="宋体"/>
          <w:sz w:val="24"/>
          <w:highlight w:val="none"/>
        </w:rPr>
        <w:t>总的</w:t>
      </w:r>
      <w:r>
        <w:rPr>
          <w:rFonts w:hint="eastAsia" w:ascii="宋体" w:hAnsi="宋体" w:cs="宋体"/>
          <w:sz w:val="24"/>
          <w:highlight w:val="none"/>
          <w:lang w:val="zh-CN"/>
        </w:rPr>
        <w:t>车辆数</w:t>
      </w:r>
      <w:r>
        <w:rPr>
          <w:rFonts w:hint="eastAsia" w:ascii="宋体" w:hAnsi="宋体" w:cs="宋体"/>
          <w:sz w:val="24"/>
          <w:highlight w:val="none"/>
        </w:rPr>
        <w:t>为营运车辆56</w:t>
      </w:r>
      <w:r>
        <w:rPr>
          <w:rFonts w:hint="eastAsia" w:ascii="宋体" w:hAnsi="宋体" w:cs="宋体"/>
          <w:sz w:val="24"/>
          <w:highlight w:val="none"/>
          <w:lang w:val="zh-CN"/>
        </w:rPr>
        <w:t>辆，具体辆数以实际投保辆数为准，</w:t>
      </w:r>
      <w:r>
        <w:rPr>
          <w:rFonts w:hint="eastAsia" w:ascii="宋体" w:hAnsi="宋体" w:cs="宋体"/>
          <w:sz w:val="24"/>
          <w:highlight w:val="none"/>
        </w:rPr>
        <w:t xml:space="preserve">采购人有权根据实际情况增加或减少投保车辆。   </w:t>
      </w:r>
    </w:p>
    <w:p w14:paraId="083DE91B">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1.承保服务基本要求</w:t>
      </w:r>
    </w:p>
    <w:p w14:paraId="4CBA268F">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1 保险险种：按照统一、规范的原则 ，承保内容统一定为</w:t>
      </w:r>
      <w:r>
        <w:rPr>
          <w:rFonts w:hint="eastAsia" w:ascii="宋体" w:hAnsi="宋体" w:cs="宋体"/>
          <w:sz w:val="24"/>
          <w:highlight w:val="none"/>
        </w:rPr>
        <w:t>机动车交通事故责任强制险、车辆代收车船税、机动车商业保险</w:t>
      </w:r>
      <w:r>
        <w:rPr>
          <w:rFonts w:hint="eastAsia" w:ascii="宋体" w:hAnsi="宋体" w:cs="宋体"/>
          <w:sz w:val="24"/>
          <w:highlight w:val="none"/>
          <w:lang w:val="zh-CN"/>
        </w:rPr>
        <w:t>（</w:t>
      </w:r>
      <w:r>
        <w:rPr>
          <w:rFonts w:hint="eastAsia" w:ascii="宋体" w:hAnsi="宋体" w:cs="宋体"/>
          <w:sz w:val="24"/>
          <w:highlight w:val="none"/>
        </w:rPr>
        <w:t>采购</w:t>
      </w:r>
      <w:r>
        <w:rPr>
          <w:rFonts w:hint="eastAsia" w:ascii="宋体" w:hAnsi="宋体" w:cs="宋体"/>
          <w:sz w:val="24"/>
          <w:highlight w:val="none"/>
          <w:lang w:val="zh-CN"/>
        </w:rPr>
        <w:t>可根据实际需求选择是否投保附加险）。</w:t>
      </w:r>
    </w:p>
    <w:p w14:paraId="4FD59376">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2 保险金额及优惠</w:t>
      </w:r>
    </w:p>
    <w:p w14:paraId="5FE23F7C">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 xml:space="preserve"> </w:t>
      </w:r>
      <w:r>
        <w:rPr>
          <w:rFonts w:hint="eastAsia" w:ascii="宋体" w:hAnsi="宋体" w:cs="宋体"/>
          <w:sz w:val="24"/>
          <w:highlight w:val="none"/>
          <w:lang w:val="zh-CN"/>
        </w:rPr>
        <w:t>交强险赔偿限额按国家有关规定执行；车辆损失险保险金额按投保时</w:t>
      </w:r>
      <w:r>
        <w:rPr>
          <w:rFonts w:hint="eastAsia" w:ascii="宋体" w:hAnsi="宋体" w:cs="宋体"/>
          <w:sz w:val="24"/>
          <w:highlight w:val="none"/>
        </w:rPr>
        <w:t>车辆的新车购置价或实际价值确定；</w:t>
      </w:r>
      <w:r>
        <w:rPr>
          <w:rFonts w:hint="eastAsia" w:ascii="宋体" w:hAnsi="宋体" w:cs="宋体"/>
          <w:sz w:val="24"/>
          <w:highlight w:val="none"/>
          <w:lang w:val="zh-CN"/>
        </w:rPr>
        <w:t>第三者责任险赔偿限额为 200 万元。</w:t>
      </w:r>
    </w:p>
    <w:p w14:paraId="2DA3C9F8">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lang w:val="zh-CN"/>
        </w:rPr>
        <w:t>(2)</w:t>
      </w:r>
      <w:r>
        <w:rPr>
          <w:rFonts w:hint="eastAsia" w:ascii="宋体" w:hAnsi="宋体" w:cs="宋体"/>
          <w:sz w:val="24"/>
          <w:highlight w:val="none"/>
        </w:rPr>
        <w:t xml:space="preserve"> </w:t>
      </w:r>
      <w:r>
        <w:rPr>
          <w:rFonts w:hint="eastAsia" w:ascii="宋体" w:hAnsi="宋体" w:cs="宋体"/>
          <w:sz w:val="24"/>
          <w:highlight w:val="none"/>
          <w:lang w:val="zh-CN"/>
        </w:rPr>
        <w:t>交强险优惠按浙江省交强险信息平台电脑自动生成金额 ，</w:t>
      </w:r>
      <w:r>
        <w:rPr>
          <w:rFonts w:hint="eastAsia" w:ascii="宋体" w:hAnsi="宋体" w:cs="宋体"/>
          <w:sz w:val="24"/>
          <w:highlight w:val="none"/>
        </w:rPr>
        <w:t>商业车险</w:t>
      </w:r>
      <w:r>
        <w:rPr>
          <w:rFonts w:hint="eastAsia" w:ascii="宋体" w:hAnsi="宋体" w:cs="宋体"/>
          <w:sz w:val="24"/>
          <w:highlight w:val="none"/>
          <w:lang w:val="zh-CN"/>
        </w:rPr>
        <w:t>优惠根据投标人现行费率规章规定以及投标承诺给予优惠。</w:t>
      </w:r>
    </w:p>
    <w:p w14:paraId="4FEBF633">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3. 指定专属承保服务人员 ：投标人需提供专属承保人员的姓名、联系电话，若指定的联系人员若变动 ，应提前一周告知采购人，并征得采购人同意。</w:t>
      </w:r>
    </w:p>
    <w:p w14:paraId="0CC185E9">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4. 落实专人优先制 ：投标人必须安排专人办理采购人机动车辆保险有关承保手续 ，送达保险资料等 ，享受承保优先的“畅通”服务。</w:t>
      </w:r>
    </w:p>
    <w:p w14:paraId="0A2CA66C">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5. 专业联系跟踪制 ：投标人应在保险期限内有计划的定期和不定期的实行保险专业知识和风险管理方面的联系和交流。</w:t>
      </w:r>
    </w:p>
    <w:p w14:paraId="3998741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2.理赔服务基本要求</w:t>
      </w:r>
    </w:p>
    <w:p w14:paraId="3F63BC79">
      <w:pPr>
        <w:spacing w:line="400" w:lineRule="exact"/>
        <w:ind w:left="3" w:right="67" w:firstLine="478"/>
        <w:rPr>
          <w:rFonts w:ascii="宋体" w:hAnsi="宋体" w:cs="宋体"/>
          <w:bCs/>
          <w:sz w:val="24"/>
          <w:highlight w:val="none"/>
        </w:rPr>
      </w:pPr>
      <w:r>
        <w:rPr>
          <w:rFonts w:hint="eastAsia" w:ascii="宋体" w:hAnsi="宋体" w:cs="宋体"/>
          <w:bCs/>
          <w:sz w:val="24"/>
          <w:highlight w:val="none"/>
        </w:rPr>
        <w:t>2.1设立用车保险专项理赔服务小组，指定专属理赔服务人员（需提供专职理赔人员的姓名、联系电话，投标人指定的联系人员若变动 ，应提前一周告知采购人，并征得采购人同意。）</w:t>
      </w:r>
    </w:p>
    <w:p w14:paraId="1DCDB5A9">
      <w:pPr>
        <w:spacing w:line="360" w:lineRule="auto"/>
        <w:ind w:firstLine="480" w:firstLineChars="200"/>
        <w:rPr>
          <w:rFonts w:ascii="仿宋" w:hAnsi="仿宋" w:eastAsia="仿宋" w:cs="仿宋"/>
          <w:sz w:val="24"/>
          <w:highlight w:val="none"/>
        </w:rPr>
      </w:pPr>
      <w:r>
        <w:rPr>
          <w:rFonts w:hint="eastAsia" w:ascii="宋体" w:hAnsi="宋体" w:cs="宋体"/>
          <w:bCs/>
          <w:sz w:val="24"/>
          <w:highlight w:val="none"/>
        </w:rPr>
        <w:t>2.2查勘救援：提供7×24小时服务，在接到采购人事故报案后，要求查勘员5分钟内与客户联系，并立即派员赶赴现场进行勘查，在台州城区不得超过30分钟；台州区域外2小时到达现场；不能按时到达现场的，告知原因，在理赔时，采购人只要提供交警部门证明和现场照片，即予认可。</w:t>
      </w:r>
    </w:p>
    <w:p w14:paraId="2AC3FBB6">
      <w:pPr>
        <w:spacing w:line="400" w:lineRule="exact"/>
        <w:ind w:left="3" w:right="67" w:firstLine="478"/>
        <w:rPr>
          <w:rFonts w:ascii="微软雅黑" w:hAnsi="微软雅黑" w:eastAsia="微软雅黑" w:cs="微软雅黑"/>
          <w:spacing w:val="1"/>
          <w:sz w:val="22"/>
          <w:szCs w:val="22"/>
          <w:highlight w:val="none"/>
        </w:rPr>
      </w:pPr>
      <w:r>
        <w:rPr>
          <w:rFonts w:hint="eastAsia" w:ascii="宋体" w:hAnsi="宋体" w:cs="宋体"/>
          <w:bCs/>
          <w:sz w:val="24"/>
          <w:highlight w:val="none"/>
        </w:rPr>
        <w:t>2.3赔款要求：赔款在规定时间统一汇入采购人账号，赔款汇单上必须注明车号；赔款不得以现金方式支付。同时经采购人授权，第三者损失可以直接赔给第三者，车损和第三者车辆损失也可以直赔维修单位。</w:t>
      </w:r>
    </w:p>
    <w:p w14:paraId="0B5C18A0">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2.4 为进一步减少采购人发生责任事故的经济损失，顺畅理赔，中标人应对采购人的所有人伤案件全程予以三方调解处理服务，并按调解结果进行及时理赔。</w:t>
      </w:r>
    </w:p>
    <w:p w14:paraId="568D678F">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2.5 人身伤害赔偿按司法解释，以一审法庭审理终结时的上一年度当地标准赔付；对于人伤案件中法律判决的或政府相关部门调解或被保险人依法与受害人及其家属达成调解协议的误工费、护理费、伤残鉴定费、诉讼费、营养费等等，中标人予以赔付。</w:t>
      </w:r>
    </w:p>
    <w:p w14:paraId="7D105E4C">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2.6对肇事车辆修复应按照“质量第一，方便及时”的原则，就近进行修理。修复配件应根据厂家原装配件进行估价。</w:t>
      </w:r>
    </w:p>
    <w:p w14:paraId="55FFE864">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2.7 发生保险责任范围内的事故，应由有关责任方负责赔偿的，投标人应先向采购人赔付，同时取得在赔偿金额范围内代位追偿的权利。投标人向有关责任方行使追偿权时采购 人应积极协助并提供必要的信息和有关情况的说明。</w:t>
      </w:r>
    </w:p>
    <w:p w14:paraId="73C92655">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2.8 支付抢救费：凡车辆发生事故 ，造成人员受伤的 ，按《中华人民共和国道路交通安全法》第 75 条“ 由保险公司在责任限额范围内支付抢救费用的”规定 ，投标人支付伤者抢救费用。</w:t>
      </w:r>
    </w:p>
    <w:p w14:paraId="7D45A6C8">
      <w:pPr>
        <w:spacing w:line="400" w:lineRule="exact"/>
        <w:ind w:left="3" w:right="67" w:firstLine="381"/>
        <w:rPr>
          <w:rFonts w:ascii="宋体" w:hAnsi="宋体" w:cs="宋体"/>
          <w:bCs/>
          <w:sz w:val="24"/>
          <w:highlight w:val="none"/>
        </w:rPr>
      </w:pPr>
      <w:r>
        <w:rPr>
          <w:rFonts w:hint="eastAsia" w:ascii="宋体" w:hAnsi="宋体" w:cs="宋体"/>
          <w:bCs/>
          <w:sz w:val="24"/>
          <w:highlight w:val="none"/>
        </w:rPr>
        <w:t>2.9 投标人须提供理赔咨询、单证收集等理赔服务。</w:t>
      </w:r>
    </w:p>
    <w:p w14:paraId="16AA162D">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3.增值服务要求</w:t>
      </w:r>
    </w:p>
    <w:p w14:paraId="76C08DDB">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免费组织投标人（被保险人）相关人员进行保险条款、索赔程序、道路交通安全法等方面的知识培训，每年至少一次。其他服务视各保险公司具体情况而定。保险公司服务承诺将作为投标文件和保险合同的一部分。</w:t>
      </w:r>
    </w:p>
    <w:p w14:paraId="2C611D81">
      <w:pPr>
        <w:spacing w:line="360" w:lineRule="auto"/>
        <w:outlineLvl w:val="1"/>
        <w:rPr>
          <w:rFonts w:ascii="宋体" w:hAnsi="宋体" w:cs="宋体"/>
          <w:b/>
          <w:sz w:val="24"/>
          <w:highlight w:val="none"/>
        </w:rPr>
      </w:pPr>
      <w:r>
        <w:rPr>
          <w:rFonts w:hint="eastAsia" w:ascii="宋体" w:hAnsi="宋体" w:cs="宋体"/>
          <w:b/>
          <w:sz w:val="24"/>
          <w:highlight w:val="none"/>
        </w:rPr>
        <w:t>二、合同内容及金额</w:t>
      </w:r>
    </w:p>
    <w:p w14:paraId="3D529A4F">
      <w:pPr>
        <w:pStyle w:val="80"/>
        <w:ind w:firstLine="480" w:firstLineChars="200"/>
        <w:rPr>
          <w:rFonts w:ascii="宋体" w:hAnsi="宋体" w:cs="宋体"/>
          <w:kern w:val="0"/>
          <w:szCs w:val="24"/>
          <w:highlight w:val="none"/>
        </w:rPr>
      </w:pPr>
      <w:r>
        <w:rPr>
          <w:rFonts w:hint="eastAsia" w:ascii="宋体" w:hAnsi="宋体" w:cs="宋体"/>
          <w:kern w:val="0"/>
          <w:szCs w:val="24"/>
          <w:highlight w:val="none"/>
        </w:rPr>
        <w:t>车辆保险金额按实际保单结算，本合同车辆的保险费暂估</w:t>
      </w:r>
      <w:r>
        <w:rPr>
          <w:rFonts w:hint="eastAsia" w:ascii="宋体" w:hAnsi="宋体" w:cs="宋体"/>
          <w:kern w:val="0"/>
          <w:szCs w:val="24"/>
          <w:highlight w:val="none"/>
          <w:u w:val="single"/>
        </w:rPr>
        <w:t xml:space="preserve">   </w:t>
      </w:r>
      <w:r>
        <w:rPr>
          <w:rFonts w:hint="eastAsia" w:ascii="宋体" w:hAnsi="宋体" w:cs="宋体"/>
          <w:kern w:val="0"/>
          <w:szCs w:val="24"/>
          <w:highlight w:val="none"/>
        </w:rPr>
        <w:t>万元。</w:t>
      </w:r>
    </w:p>
    <w:p w14:paraId="3A265507">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w:t>
      </w:r>
      <w:r>
        <w:rPr>
          <w:rFonts w:hint="eastAsia" w:hAnsi="宋体" w:cs="宋体"/>
          <w:sz w:val="24"/>
          <w:highlight w:val="none"/>
        </w:rPr>
        <w:t>浙江金豹运业有限公司</w:t>
      </w:r>
      <w:r>
        <w:rPr>
          <w:rFonts w:hint="eastAsia" w:hAnsi="宋体" w:cs="宋体"/>
          <w:kern w:val="0"/>
          <w:sz w:val="24"/>
          <w:highlight w:val="none"/>
        </w:rPr>
        <w:t>】（被保险人）的车辆均纳入本次车辆保险集中采购范围，主要服务内容包括自项目合同签订之日起12个月内，</w:t>
      </w:r>
      <w:r>
        <w:rPr>
          <w:rFonts w:hint="eastAsia" w:hAnsi="宋体" w:cs="宋体"/>
          <w:sz w:val="24"/>
          <w:highlight w:val="none"/>
        </w:rPr>
        <w:t>浙江金豹运业有限公司</w:t>
      </w:r>
      <w:r>
        <w:rPr>
          <w:rFonts w:hint="eastAsia" w:hAnsi="宋体" w:cs="宋体"/>
          <w:kern w:val="0"/>
          <w:sz w:val="24"/>
          <w:highlight w:val="none"/>
        </w:rPr>
        <w:t>现有新增车辆的机动车交通事故责任强制险、车辆代收车船税、机动车商业保险及理赔服务，拟投保车辆总数暂估为 51 辆机动车。最终投保机动车的数量以</w:t>
      </w:r>
      <w:r>
        <w:rPr>
          <w:rFonts w:hint="eastAsia" w:hAnsi="宋体" w:cs="宋体"/>
          <w:sz w:val="24"/>
          <w:highlight w:val="none"/>
        </w:rPr>
        <w:t>浙江金豹运业有限公司</w:t>
      </w:r>
      <w:r>
        <w:rPr>
          <w:rFonts w:hint="eastAsia" w:hAnsi="宋体" w:cs="宋体"/>
          <w:kern w:val="0"/>
          <w:sz w:val="24"/>
          <w:highlight w:val="none"/>
        </w:rPr>
        <w:t>实际采购并参保的数量为准。</w:t>
      </w:r>
    </w:p>
    <w:p w14:paraId="6150AFE8">
      <w:pPr>
        <w:pStyle w:val="11"/>
        <w:snapToGrid w:val="0"/>
        <w:spacing w:before="156" w:after="156" w:line="360" w:lineRule="auto"/>
        <w:ind w:firstLine="480" w:firstLineChars="200"/>
        <w:rPr>
          <w:rFonts w:hAnsi="宋体" w:cs="宋体"/>
          <w:sz w:val="24"/>
          <w:highlight w:val="none"/>
        </w:rPr>
      </w:pPr>
      <w:r>
        <w:rPr>
          <w:rFonts w:hint="eastAsia" w:hAnsi="宋体" w:cs="宋体"/>
          <w:kern w:val="0"/>
          <w:sz w:val="24"/>
          <w:highlight w:val="none"/>
        </w:rPr>
        <w:t>按车辆使用性质，本合同</w:t>
      </w:r>
      <w:r>
        <w:rPr>
          <w:rFonts w:hint="eastAsia" w:hAnsi="宋体" w:cs="宋体"/>
          <w:sz w:val="24"/>
          <w:highlight w:val="none"/>
        </w:rPr>
        <w:t>自主定价系数分别为</w:t>
      </w:r>
      <w:r>
        <w:rPr>
          <w:rFonts w:hint="eastAsia" w:hAnsi="宋体" w:cs="宋体"/>
          <w:sz w:val="24"/>
          <w:highlight w:val="none"/>
          <w:u w:val="single"/>
        </w:rPr>
        <w:t xml:space="preserve">       </w:t>
      </w:r>
      <w:r>
        <w:rPr>
          <w:rFonts w:hint="eastAsia" w:hAnsi="宋体" w:cs="宋体"/>
          <w:sz w:val="24"/>
          <w:highlight w:val="none"/>
        </w:rPr>
        <w:t>，</w:t>
      </w:r>
      <w:r>
        <w:rPr>
          <w:rFonts w:hint="eastAsia" w:hAnsi="宋体" w:cs="宋体"/>
          <w:b/>
          <w:bCs/>
          <w:sz w:val="24"/>
          <w:highlight w:val="none"/>
        </w:rPr>
        <w:t>商业险保费计算方法</w:t>
      </w:r>
      <w:r>
        <w:rPr>
          <w:rFonts w:hint="eastAsia" w:hAnsi="宋体" w:cs="宋体"/>
          <w:b/>
          <w:bCs/>
          <w:kern w:val="0"/>
          <w:sz w:val="24"/>
          <w:highlight w:val="none"/>
        </w:rPr>
        <w:t>=标准保费×无赔款优待系数×</w:t>
      </w:r>
      <w:r>
        <w:rPr>
          <w:rFonts w:hint="eastAsia" w:hAnsi="宋体" w:cs="宋体"/>
          <w:b/>
          <w:bCs/>
          <w:sz w:val="24"/>
          <w:highlight w:val="none"/>
          <w:lang w:val="zh-CN"/>
        </w:rPr>
        <w:t>自主定价系数</w:t>
      </w:r>
      <w:r>
        <w:rPr>
          <w:rFonts w:hint="eastAsia" w:hAnsi="宋体" w:cs="宋体"/>
          <w:b/>
          <w:bCs/>
          <w:sz w:val="24"/>
          <w:highlight w:val="none"/>
        </w:rPr>
        <w:t>。</w:t>
      </w:r>
    </w:p>
    <w:p w14:paraId="4528A6F4">
      <w:pPr>
        <w:spacing w:line="360" w:lineRule="auto"/>
        <w:outlineLvl w:val="1"/>
        <w:rPr>
          <w:rFonts w:ascii="宋体" w:hAnsi="宋体" w:cs="宋体"/>
          <w:b/>
          <w:sz w:val="24"/>
          <w:highlight w:val="none"/>
        </w:rPr>
      </w:pPr>
      <w:r>
        <w:rPr>
          <w:rFonts w:hint="eastAsia" w:ascii="宋体" w:hAnsi="宋体" w:cs="宋体"/>
          <w:b/>
          <w:sz w:val="24"/>
          <w:highlight w:val="none"/>
        </w:rPr>
        <w:t>三、合同履行服务期限</w:t>
      </w:r>
    </w:p>
    <w:p w14:paraId="3CDA35D0">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合同服务期限：</w:t>
      </w:r>
      <w:r>
        <w:rPr>
          <w:rFonts w:hint="eastAsia" w:hAnsi="宋体" w:cs="宋体"/>
          <w:sz w:val="24"/>
          <w:highlight w:val="none"/>
        </w:rPr>
        <w:t>3年，自本项目合同签订生效之日起12个月满且本项目合同遗留保险理赔案件处理完成为止（合同1年1签）。</w:t>
      </w:r>
    </w:p>
    <w:p w14:paraId="7E343033">
      <w:pPr>
        <w:pStyle w:val="11"/>
        <w:snapToGrid w:val="0"/>
        <w:spacing w:before="156" w:after="156" w:line="360" w:lineRule="auto"/>
        <w:rPr>
          <w:rFonts w:hAnsi="宋体" w:cs="宋体"/>
          <w:b/>
          <w:sz w:val="24"/>
          <w:highlight w:val="none"/>
        </w:rPr>
      </w:pPr>
      <w:r>
        <w:rPr>
          <w:rFonts w:hint="eastAsia" w:hAnsi="宋体" w:cs="宋体"/>
          <w:b/>
          <w:sz w:val="24"/>
          <w:highlight w:val="none"/>
        </w:rPr>
        <w:t>四、保费支付及保费计算方法</w:t>
      </w:r>
    </w:p>
    <w:p w14:paraId="563F9A93">
      <w:pPr>
        <w:snapToGrid w:val="0"/>
        <w:spacing w:line="360" w:lineRule="auto"/>
        <w:ind w:firstLine="482" w:firstLineChars="200"/>
        <w:rPr>
          <w:rFonts w:ascii="宋体" w:hAnsi="宋体" w:cs="宋体"/>
          <w:b/>
          <w:sz w:val="24"/>
          <w:highlight w:val="none"/>
        </w:rPr>
      </w:pPr>
      <w:r>
        <w:rPr>
          <w:rFonts w:hint="eastAsia" w:ascii="宋体" w:hAnsi="宋体" w:cs="宋体"/>
          <w:b/>
          <w:bCs/>
          <w:kern w:val="0"/>
          <w:sz w:val="24"/>
          <w:highlight w:val="none"/>
        </w:rPr>
        <w:t>1、保费支付：</w:t>
      </w:r>
      <w:r>
        <w:rPr>
          <w:rFonts w:hint="eastAsia" w:ascii="宋体" w:hAnsi="宋体" w:cs="宋体"/>
          <w:b/>
          <w:sz w:val="24"/>
          <w:highlight w:val="none"/>
        </w:rPr>
        <w:t>由保险公司先出缴费通知单，在保单到期前30天内送达（被保险人），被保险人在收到缴费通知单后10个工作日内将每批次实际发生的保费支付给保险公司。</w:t>
      </w:r>
    </w:p>
    <w:p w14:paraId="60447304">
      <w:pPr>
        <w:pStyle w:val="11"/>
        <w:snapToGrid w:val="0"/>
        <w:spacing w:before="156" w:after="156" w:line="360" w:lineRule="auto"/>
        <w:ind w:firstLine="482" w:firstLineChars="200"/>
        <w:rPr>
          <w:rFonts w:hAnsi="宋体" w:cs="宋体"/>
          <w:b/>
          <w:bCs/>
          <w:kern w:val="0"/>
          <w:sz w:val="24"/>
          <w:highlight w:val="none"/>
        </w:rPr>
      </w:pPr>
      <w:r>
        <w:rPr>
          <w:rFonts w:hint="eastAsia" w:hAnsi="宋体" w:cs="宋体"/>
          <w:b/>
          <w:bCs/>
          <w:kern w:val="0"/>
          <w:sz w:val="24"/>
          <w:highlight w:val="none"/>
        </w:rPr>
        <w:t>2、交强险：浙江金豹运业有限公司机动车交通事故责任强制险根据《机动车交通事故责任强制保险条例》规定，</w:t>
      </w:r>
      <w:r>
        <w:rPr>
          <w:rFonts w:hint="eastAsia" w:hAnsi="宋体" w:cs="宋体"/>
          <w:b/>
          <w:sz w:val="24"/>
          <w:highlight w:val="none"/>
        </w:rPr>
        <w:t>按照机动车交通事故责任强制保险基础费率执行，根据保险责任事故赔偿次数、驾驶行为等给予最低优惠。</w:t>
      </w:r>
      <w:r>
        <w:rPr>
          <w:rFonts w:hint="eastAsia" w:hAnsi="宋体" w:cs="宋体"/>
          <w:b/>
          <w:bCs/>
          <w:kern w:val="0"/>
          <w:sz w:val="24"/>
          <w:highlight w:val="none"/>
        </w:rPr>
        <w:t>交强险责任限额见下表：</w:t>
      </w:r>
    </w:p>
    <w:tbl>
      <w:tblPr>
        <w:tblStyle w:val="24"/>
        <w:tblpPr w:leftFromText="180" w:rightFromText="180" w:vertAnchor="text" w:horzAnchor="page" w:tblpXSpec="center" w:tblpY="35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4830"/>
        <w:gridCol w:w="2820"/>
      </w:tblGrid>
      <w:tr w14:paraId="6FD1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277F3AC6">
            <w:pPr>
              <w:widowControl/>
              <w:spacing w:line="360" w:lineRule="auto"/>
              <w:jc w:val="center"/>
              <w:textAlignment w:val="center"/>
              <w:rPr>
                <w:rFonts w:ascii="宋体" w:hAnsi="宋体" w:cs="宋体"/>
                <w:b/>
                <w:bCs/>
                <w:kern w:val="0"/>
                <w:sz w:val="24"/>
                <w:highlight w:val="none"/>
              </w:rPr>
            </w:pPr>
            <w:r>
              <w:rPr>
                <w:rFonts w:hint="eastAsia" w:ascii="宋体" w:hAnsi="宋体" w:cs="宋体"/>
                <w:b/>
                <w:bCs/>
                <w:kern w:val="0"/>
                <w:sz w:val="24"/>
                <w:highlight w:val="none"/>
              </w:rPr>
              <w:t>编号</w:t>
            </w:r>
          </w:p>
        </w:tc>
        <w:tc>
          <w:tcPr>
            <w:tcW w:w="4830" w:type="dxa"/>
            <w:vAlign w:val="center"/>
          </w:tcPr>
          <w:p w14:paraId="761C4E42">
            <w:pPr>
              <w:widowControl/>
              <w:spacing w:line="360" w:lineRule="auto"/>
              <w:jc w:val="center"/>
              <w:textAlignment w:val="center"/>
              <w:rPr>
                <w:rFonts w:ascii="宋体" w:hAnsi="宋体" w:cs="宋体"/>
                <w:b/>
                <w:bCs/>
                <w:kern w:val="0"/>
                <w:sz w:val="24"/>
                <w:highlight w:val="none"/>
              </w:rPr>
            </w:pPr>
            <w:r>
              <w:rPr>
                <w:rFonts w:hint="eastAsia" w:ascii="宋体" w:hAnsi="宋体" w:cs="宋体"/>
                <w:b/>
                <w:bCs/>
                <w:kern w:val="0"/>
                <w:sz w:val="24"/>
                <w:highlight w:val="none"/>
              </w:rPr>
              <w:t>险种名称</w:t>
            </w:r>
          </w:p>
        </w:tc>
        <w:tc>
          <w:tcPr>
            <w:tcW w:w="2820" w:type="dxa"/>
            <w:vAlign w:val="center"/>
          </w:tcPr>
          <w:p w14:paraId="7D13F774">
            <w:pPr>
              <w:widowControl/>
              <w:spacing w:line="360" w:lineRule="auto"/>
              <w:jc w:val="center"/>
              <w:textAlignment w:val="center"/>
              <w:rPr>
                <w:rFonts w:ascii="宋体" w:hAnsi="宋体" w:cs="宋体"/>
                <w:b/>
                <w:bCs/>
                <w:kern w:val="0"/>
                <w:sz w:val="24"/>
                <w:highlight w:val="none"/>
              </w:rPr>
            </w:pPr>
            <w:r>
              <w:rPr>
                <w:rFonts w:hint="eastAsia" w:ascii="宋体" w:hAnsi="宋体" w:cs="宋体"/>
                <w:b/>
                <w:bCs/>
                <w:kern w:val="0"/>
                <w:sz w:val="24"/>
                <w:highlight w:val="none"/>
              </w:rPr>
              <w:t>责任限额（元）</w:t>
            </w:r>
          </w:p>
        </w:tc>
      </w:tr>
      <w:tr w14:paraId="263A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07CF31FA">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1</w:t>
            </w:r>
          </w:p>
        </w:tc>
        <w:tc>
          <w:tcPr>
            <w:tcW w:w="4830" w:type="dxa"/>
            <w:vAlign w:val="center"/>
          </w:tcPr>
          <w:p w14:paraId="53D28944">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死亡伤残赔偿责任险</w:t>
            </w:r>
          </w:p>
        </w:tc>
        <w:tc>
          <w:tcPr>
            <w:tcW w:w="2820" w:type="dxa"/>
            <w:vAlign w:val="center"/>
          </w:tcPr>
          <w:p w14:paraId="4F6B6683">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180000</w:t>
            </w:r>
          </w:p>
        </w:tc>
      </w:tr>
      <w:tr w14:paraId="60CB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6853BAB8">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2</w:t>
            </w:r>
          </w:p>
        </w:tc>
        <w:tc>
          <w:tcPr>
            <w:tcW w:w="4830" w:type="dxa"/>
            <w:vAlign w:val="center"/>
          </w:tcPr>
          <w:p w14:paraId="67CAD341">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医疗费用赔偿责任险</w:t>
            </w:r>
          </w:p>
        </w:tc>
        <w:tc>
          <w:tcPr>
            <w:tcW w:w="2820" w:type="dxa"/>
            <w:vAlign w:val="center"/>
          </w:tcPr>
          <w:p w14:paraId="1092390B">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w:t>
            </w:r>
          </w:p>
        </w:tc>
      </w:tr>
      <w:tr w14:paraId="4ACA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3B509F6A">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3</w:t>
            </w:r>
          </w:p>
        </w:tc>
        <w:tc>
          <w:tcPr>
            <w:tcW w:w="4830" w:type="dxa"/>
            <w:vAlign w:val="center"/>
          </w:tcPr>
          <w:p w14:paraId="15DB139B">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财产损失赔偿责任险</w:t>
            </w:r>
          </w:p>
        </w:tc>
        <w:tc>
          <w:tcPr>
            <w:tcW w:w="2820" w:type="dxa"/>
            <w:vAlign w:val="center"/>
          </w:tcPr>
          <w:p w14:paraId="4A961C3A">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2000</w:t>
            </w:r>
          </w:p>
        </w:tc>
      </w:tr>
      <w:tr w14:paraId="099D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9" w:type="dxa"/>
            <w:vAlign w:val="center"/>
          </w:tcPr>
          <w:p w14:paraId="30E7C2D9">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4</w:t>
            </w:r>
          </w:p>
        </w:tc>
        <w:tc>
          <w:tcPr>
            <w:tcW w:w="4830" w:type="dxa"/>
            <w:vAlign w:val="center"/>
          </w:tcPr>
          <w:p w14:paraId="27AF9907">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无责任死亡伤残赔偿责任险</w:t>
            </w:r>
          </w:p>
        </w:tc>
        <w:tc>
          <w:tcPr>
            <w:tcW w:w="2820" w:type="dxa"/>
            <w:vAlign w:val="center"/>
          </w:tcPr>
          <w:p w14:paraId="35F36E00">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w:t>
            </w:r>
          </w:p>
        </w:tc>
      </w:tr>
      <w:tr w14:paraId="1899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9" w:type="dxa"/>
            <w:vAlign w:val="center"/>
          </w:tcPr>
          <w:p w14:paraId="0B6851E2">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5</w:t>
            </w:r>
          </w:p>
        </w:tc>
        <w:tc>
          <w:tcPr>
            <w:tcW w:w="4830" w:type="dxa"/>
            <w:vAlign w:val="center"/>
          </w:tcPr>
          <w:p w14:paraId="30D6CA51">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无责任医疗费用赔偿责任险</w:t>
            </w:r>
          </w:p>
        </w:tc>
        <w:tc>
          <w:tcPr>
            <w:tcW w:w="2820" w:type="dxa"/>
            <w:vAlign w:val="center"/>
          </w:tcPr>
          <w:p w14:paraId="34097D4F">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w:t>
            </w:r>
          </w:p>
        </w:tc>
      </w:tr>
      <w:tr w14:paraId="281B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035DA011">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6</w:t>
            </w:r>
          </w:p>
        </w:tc>
        <w:tc>
          <w:tcPr>
            <w:tcW w:w="4830" w:type="dxa"/>
            <w:vAlign w:val="center"/>
          </w:tcPr>
          <w:p w14:paraId="3FC532EB">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无责任财产损失赔偿责任险</w:t>
            </w:r>
          </w:p>
        </w:tc>
        <w:tc>
          <w:tcPr>
            <w:tcW w:w="2820" w:type="dxa"/>
            <w:vAlign w:val="center"/>
          </w:tcPr>
          <w:p w14:paraId="1F4E87BA">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100</w:t>
            </w:r>
          </w:p>
        </w:tc>
      </w:tr>
    </w:tbl>
    <w:p w14:paraId="6BC798D2">
      <w:pPr>
        <w:pStyle w:val="11"/>
        <w:snapToGrid w:val="0"/>
        <w:spacing w:before="156" w:after="156" w:line="360" w:lineRule="auto"/>
        <w:ind w:firstLine="482" w:firstLineChars="200"/>
        <w:rPr>
          <w:rFonts w:hAnsi="宋体" w:cs="宋体"/>
          <w:b/>
          <w:bCs/>
          <w:kern w:val="0"/>
          <w:sz w:val="24"/>
          <w:highlight w:val="none"/>
        </w:rPr>
      </w:pPr>
    </w:p>
    <w:tbl>
      <w:tblPr>
        <w:tblStyle w:val="24"/>
        <w:tblW w:w="0" w:type="auto"/>
        <w:jc w:val="center"/>
        <w:tblLayout w:type="fixed"/>
        <w:tblCellMar>
          <w:top w:w="15" w:type="dxa"/>
          <w:left w:w="15" w:type="dxa"/>
          <w:bottom w:w="15" w:type="dxa"/>
          <w:right w:w="15" w:type="dxa"/>
        </w:tblCellMar>
      </w:tblPr>
      <w:tblGrid>
        <w:gridCol w:w="6096"/>
        <w:gridCol w:w="1418"/>
        <w:gridCol w:w="1559"/>
      </w:tblGrid>
      <w:tr w14:paraId="6C803CB1">
        <w:tblPrEx>
          <w:tblCellMar>
            <w:top w:w="15" w:type="dxa"/>
            <w:left w:w="15" w:type="dxa"/>
            <w:bottom w:w="15" w:type="dxa"/>
            <w:right w:w="15" w:type="dxa"/>
          </w:tblCellMar>
        </w:tblPrEx>
        <w:trPr>
          <w:trHeight w:val="555" w:hRule="atLeast"/>
          <w:jc w:val="center"/>
        </w:trPr>
        <w:tc>
          <w:tcPr>
            <w:tcW w:w="9073" w:type="dxa"/>
            <w:gridSpan w:val="3"/>
            <w:vAlign w:val="center"/>
          </w:tcPr>
          <w:p w14:paraId="57D5C85E">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机动车交强险保险折扣率</w:t>
            </w:r>
          </w:p>
        </w:tc>
      </w:tr>
      <w:tr w14:paraId="3D562428">
        <w:tblPrEx>
          <w:tblCellMar>
            <w:top w:w="15" w:type="dxa"/>
            <w:left w:w="15" w:type="dxa"/>
            <w:bottom w:w="15" w:type="dxa"/>
            <w:right w:w="15" w:type="dxa"/>
          </w:tblCellMar>
        </w:tblPrEx>
        <w:trPr>
          <w:trHeight w:val="675"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6089F9B8">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上年出险次数</w:t>
            </w:r>
          </w:p>
        </w:tc>
        <w:tc>
          <w:tcPr>
            <w:tcW w:w="1418" w:type="dxa"/>
            <w:tcBorders>
              <w:top w:val="single" w:color="000000" w:sz="4" w:space="0"/>
              <w:left w:val="single" w:color="000000" w:sz="4" w:space="0"/>
              <w:bottom w:val="single" w:color="000000" w:sz="4" w:space="0"/>
              <w:right w:val="single" w:color="000000" w:sz="4" w:space="0"/>
            </w:tcBorders>
            <w:vAlign w:val="center"/>
          </w:tcPr>
          <w:p w14:paraId="4054F89D">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优惠幅度</w:t>
            </w:r>
          </w:p>
        </w:tc>
        <w:tc>
          <w:tcPr>
            <w:tcW w:w="1559" w:type="dxa"/>
            <w:tcBorders>
              <w:top w:val="single" w:color="000000" w:sz="4" w:space="0"/>
              <w:left w:val="single" w:color="000000" w:sz="4" w:space="0"/>
              <w:bottom w:val="single" w:color="000000" w:sz="4" w:space="0"/>
              <w:right w:val="single" w:color="000000" w:sz="4" w:space="0"/>
            </w:tcBorders>
            <w:vAlign w:val="center"/>
          </w:tcPr>
          <w:p w14:paraId="17F2830B">
            <w:pPr>
              <w:widowControl/>
              <w:jc w:val="center"/>
              <w:textAlignment w:val="center"/>
              <w:rPr>
                <w:rFonts w:ascii="宋体" w:hAnsi="宋体" w:cs="宋体"/>
                <w:b/>
                <w:bCs/>
                <w:kern w:val="0"/>
                <w:sz w:val="24"/>
                <w:highlight w:val="none"/>
              </w:rPr>
            </w:pPr>
            <w:r>
              <w:rPr>
                <w:rFonts w:hint="eastAsia" w:ascii="宋体" w:hAnsi="宋体" w:cs="宋体"/>
                <w:b/>
                <w:bCs/>
                <w:kern w:val="0"/>
                <w:sz w:val="24"/>
                <w:highlight w:val="none"/>
              </w:rPr>
              <w:t>费率调整系数</w:t>
            </w:r>
          </w:p>
          <w:p w14:paraId="3B0CDD95">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（最终折扣）</w:t>
            </w:r>
          </w:p>
        </w:tc>
      </w:tr>
      <w:tr w14:paraId="26132E76">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4E7BE172">
            <w:pPr>
              <w:widowControl/>
              <w:jc w:val="center"/>
              <w:textAlignment w:val="center"/>
              <w:rPr>
                <w:rFonts w:ascii="宋体" w:hAnsi="宋体" w:cs="宋体"/>
                <w:sz w:val="24"/>
                <w:highlight w:val="none"/>
              </w:rPr>
            </w:pPr>
            <w:r>
              <w:rPr>
                <w:rFonts w:hint="eastAsia" w:ascii="宋体" w:hAnsi="宋体" w:cs="宋体"/>
                <w:kern w:val="0"/>
                <w:sz w:val="24"/>
                <w:highlight w:val="none"/>
              </w:rPr>
              <w:t>上三个及以上年度未发生有责任道路交通事故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50BFF431">
            <w:pPr>
              <w:widowControl/>
              <w:jc w:val="center"/>
              <w:textAlignment w:val="center"/>
              <w:rPr>
                <w:rFonts w:ascii="宋体" w:hAnsi="宋体" w:cs="宋体"/>
                <w:sz w:val="24"/>
                <w:highlight w:val="none"/>
              </w:rPr>
            </w:pPr>
            <w:r>
              <w:rPr>
                <w:rFonts w:hint="eastAsia" w:ascii="宋体" w:hAnsi="宋体" w:cs="宋体"/>
                <w:kern w:val="0"/>
                <w:sz w:val="24"/>
                <w:highlight w:val="none"/>
              </w:rPr>
              <w:t>30%</w:t>
            </w:r>
          </w:p>
        </w:tc>
        <w:tc>
          <w:tcPr>
            <w:tcW w:w="1559" w:type="dxa"/>
            <w:tcBorders>
              <w:top w:val="single" w:color="000000" w:sz="4" w:space="0"/>
              <w:left w:val="single" w:color="000000" w:sz="4" w:space="0"/>
              <w:bottom w:val="single" w:color="000000" w:sz="4" w:space="0"/>
              <w:right w:val="single" w:color="000000" w:sz="4" w:space="0"/>
            </w:tcBorders>
            <w:vAlign w:val="center"/>
          </w:tcPr>
          <w:p w14:paraId="451DB959">
            <w:pPr>
              <w:widowControl/>
              <w:jc w:val="center"/>
              <w:textAlignment w:val="center"/>
              <w:rPr>
                <w:rFonts w:ascii="宋体" w:hAnsi="宋体" w:cs="宋体"/>
                <w:sz w:val="24"/>
                <w:highlight w:val="none"/>
              </w:rPr>
            </w:pPr>
            <w:r>
              <w:rPr>
                <w:rFonts w:hint="eastAsia" w:ascii="宋体" w:hAnsi="宋体" w:cs="宋体"/>
                <w:kern w:val="0"/>
                <w:sz w:val="24"/>
                <w:highlight w:val="none"/>
              </w:rPr>
              <w:t>0.7</w:t>
            </w:r>
          </w:p>
        </w:tc>
      </w:tr>
      <w:tr w14:paraId="4DBB9324">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4C517FCC">
            <w:pPr>
              <w:widowControl/>
              <w:jc w:val="center"/>
              <w:textAlignment w:val="center"/>
              <w:rPr>
                <w:rFonts w:ascii="宋体" w:hAnsi="宋体" w:cs="宋体"/>
                <w:sz w:val="24"/>
                <w:highlight w:val="none"/>
              </w:rPr>
            </w:pPr>
            <w:r>
              <w:rPr>
                <w:rFonts w:hint="eastAsia" w:ascii="宋体" w:hAnsi="宋体" w:cs="宋体"/>
                <w:kern w:val="0"/>
                <w:sz w:val="24"/>
                <w:highlight w:val="none"/>
              </w:rPr>
              <w:t>上两个年度未发生有责任道路交通事故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346774A5">
            <w:pPr>
              <w:widowControl/>
              <w:jc w:val="center"/>
              <w:textAlignment w:val="center"/>
              <w:rPr>
                <w:rFonts w:ascii="宋体" w:hAnsi="宋体" w:cs="宋体"/>
                <w:sz w:val="24"/>
                <w:highlight w:val="none"/>
              </w:rPr>
            </w:pPr>
            <w:r>
              <w:rPr>
                <w:rFonts w:hint="eastAsia" w:ascii="宋体" w:hAnsi="宋体" w:cs="宋体"/>
                <w:kern w:val="0"/>
                <w:sz w:val="24"/>
                <w:highlight w:val="none"/>
              </w:rPr>
              <w:t>20%</w:t>
            </w:r>
          </w:p>
        </w:tc>
        <w:tc>
          <w:tcPr>
            <w:tcW w:w="1559" w:type="dxa"/>
            <w:tcBorders>
              <w:top w:val="single" w:color="000000" w:sz="4" w:space="0"/>
              <w:left w:val="single" w:color="000000" w:sz="4" w:space="0"/>
              <w:bottom w:val="single" w:color="000000" w:sz="4" w:space="0"/>
              <w:right w:val="single" w:color="000000" w:sz="4" w:space="0"/>
            </w:tcBorders>
            <w:vAlign w:val="center"/>
          </w:tcPr>
          <w:p w14:paraId="22486339">
            <w:pPr>
              <w:widowControl/>
              <w:jc w:val="center"/>
              <w:textAlignment w:val="center"/>
              <w:rPr>
                <w:rFonts w:ascii="宋体" w:hAnsi="宋体" w:cs="宋体"/>
                <w:sz w:val="24"/>
                <w:highlight w:val="none"/>
              </w:rPr>
            </w:pPr>
            <w:r>
              <w:rPr>
                <w:rFonts w:hint="eastAsia" w:ascii="宋体" w:hAnsi="宋体" w:cs="宋体"/>
                <w:kern w:val="0"/>
                <w:sz w:val="24"/>
                <w:highlight w:val="none"/>
              </w:rPr>
              <w:t>0.8</w:t>
            </w:r>
          </w:p>
        </w:tc>
      </w:tr>
      <w:tr w14:paraId="580E99B9">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328321F3">
            <w:pPr>
              <w:widowControl/>
              <w:jc w:val="center"/>
              <w:textAlignment w:val="center"/>
              <w:rPr>
                <w:rFonts w:ascii="宋体" w:hAnsi="宋体" w:cs="宋体"/>
                <w:sz w:val="24"/>
                <w:highlight w:val="none"/>
              </w:rPr>
            </w:pPr>
            <w:r>
              <w:rPr>
                <w:rFonts w:hint="eastAsia" w:ascii="宋体" w:hAnsi="宋体" w:cs="宋体"/>
                <w:kern w:val="0"/>
                <w:sz w:val="24"/>
                <w:highlight w:val="none"/>
              </w:rPr>
              <w:t>上一个年度未发生有责任道路交通事故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12D9D802">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c>
          <w:tcPr>
            <w:tcW w:w="1559" w:type="dxa"/>
            <w:tcBorders>
              <w:top w:val="single" w:color="000000" w:sz="4" w:space="0"/>
              <w:left w:val="single" w:color="000000" w:sz="4" w:space="0"/>
              <w:bottom w:val="single" w:color="000000" w:sz="4" w:space="0"/>
              <w:right w:val="single" w:color="000000" w:sz="4" w:space="0"/>
            </w:tcBorders>
            <w:vAlign w:val="center"/>
          </w:tcPr>
          <w:p w14:paraId="76E6F9E3">
            <w:pPr>
              <w:widowControl/>
              <w:jc w:val="center"/>
              <w:textAlignment w:val="center"/>
              <w:rPr>
                <w:rFonts w:ascii="宋体" w:hAnsi="宋体" w:cs="宋体"/>
                <w:sz w:val="24"/>
                <w:highlight w:val="none"/>
              </w:rPr>
            </w:pPr>
            <w:r>
              <w:rPr>
                <w:rFonts w:hint="eastAsia" w:ascii="宋体" w:hAnsi="宋体" w:cs="宋体"/>
                <w:kern w:val="0"/>
                <w:sz w:val="24"/>
                <w:highlight w:val="none"/>
              </w:rPr>
              <w:t>0.9</w:t>
            </w:r>
          </w:p>
        </w:tc>
      </w:tr>
      <w:tr w14:paraId="3B66BA61">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1A375AB7">
            <w:pPr>
              <w:widowControl/>
              <w:jc w:val="center"/>
              <w:textAlignment w:val="center"/>
              <w:rPr>
                <w:rFonts w:ascii="宋体" w:hAnsi="宋体" w:cs="宋体"/>
                <w:sz w:val="24"/>
                <w:highlight w:val="none"/>
              </w:rPr>
            </w:pPr>
            <w:r>
              <w:rPr>
                <w:rFonts w:hint="eastAsia" w:ascii="宋体" w:hAnsi="宋体" w:cs="宋体"/>
                <w:kern w:val="0"/>
                <w:sz w:val="24"/>
                <w:highlight w:val="none"/>
              </w:rPr>
              <w:t>新保或过户或上年保险期限不为一年</w:t>
            </w:r>
          </w:p>
        </w:tc>
        <w:tc>
          <w:tcPr>
            <w:tcW w:w="1418" w:type="dxa"/>
            <w:tcBorders>
              <w:top w:val="single" w:color="000000" w:sz="4" w:space="0"/>
              <w:left w:val="single" w:color="000000" w:sz="4" w:space="0"/>
              <w:bottom w:val="single" w:color="000000" w:sz="4" w:space="0"/>
              <w:right w:val="single" w:color="000000" w:sz="4" w:space="0"/>
            </w:tcBorders>
            <w:vAlign w:val="center"/>
          </w:tcPr>
          <w:p w14:paraId="71004681">
            <w:pPr>
              <w:widowControl/>
              <w:jc w:val="center"/>
              <w:textAlignment w:val="center"/>
              <w:rPr>
                <w:rFonts w:ascii="宋体" w:hAnsi="宋体" w:cs="宋体"/>
                <w:sz w:val="24"/>
                <w:highlight w:val="none"/>
              </w:rPr>
            </w:pPr>
            <w:r>
              <w:rPr>
                <w:rFonts w:hint="eastAsia" w:ascii="宋体" w:hAnsi="宋体" w:cs="宋体"/>
                <w:kern w:val="0"/>
                <w:sz w:val="24"/>
                <w:highlight w:val="none"/>
              </w:rPr>
              <w:t>0</w:t>
            </w:r>
          </w:p>
        </w:tc>
        <w:tc>
          <w:tcPr>
            <w:tcW w:w="1559" w:type="dxa"/>
            <w:tcBorders>
              <w:top w:val="single" w:color="000000" w:sz="4" w:space="0"/>
              <w:left w:val="single" w:color="000000" w:sz="4" w:space="0"/>
              <w:bottom w:val="single" w:color="000000" w:sz="4" w:space="0"/>
              <w:right w:val="single" w:color="000000" w:sz="4" w:space="0"/>
            </w:tcBorders>
            <w:vAlign w:val="center"/>
          </w:tcPr>
          <w:p w14:paraId="574369F3">
            <w:pPr>
              <w:widowControl/>
              <w:jc w:val="center"/>
              <w:textAlignment w:val="center"/>
              <w:rPr>
                <w:rFonts w:ascii="宋体" w:hAnsi="宋体" w:cs="宋体"/>
                <w:kern w:val="0"/>
                <w:sz w:val="24"/>
                <w:highlight w:val="none"/>
              </w:rPr>
            </w:pPr>
            <w:r>
              <w:rPr>
                <w:rFonts w:hint="eastAsia" w:ascii="宋体" w:hAnsi="宋体" w:cs="宋体"/>
                <w:kern w:val="0"/>
                <w:sz w:val="24"/>
                <w:highlight w:val="none"/>
              </w:rPr>
              <w:t>1.0</w:t>
            </w:r>
          </w:p>
        </w:tc>
      </w:tr>
      <w:tr w14:paraId="4A6A5C0B">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0B2C8B9B">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上一年度发生一次有责任不涉及死亡的道路交通事故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29C96DEC">
            <w:pPr>
              <w:widowControl/>
              <w:jc w:val="center"/>
              <w:textAlignment w:val="center"/>
              <w:rPr>
                <w:rFonts w:ascii="宋体" w:hAnsi="宋体" w:cs="宋体"/>
                <w:sz w:val="24"/>
                <w:highlight w:val="none"/>
              </w:rPr>
            </w:pPr>
            <w:r>
              <w:rPr>
                <w:rFonts w:hint="eastAsia" w:ascii="宋体" w:hAnsi="宋体" w:cs="宋体"/>
                <w:kern w:val="0"/>
                <w:sz w:val="24"/>
                <w:highlight w:val="none"/>
              </w:rPr>
              <w:t>0</w:t>
            </w:r>
          </w:p>
        </w:tc>
        <w:tc>
          <w:tcPr>
            <w:tcW w:w="1559" w:type="dxa"/>
            <w:tcBorders>
              <w:top w:val="single" w:color="000000" w:sz="4" w:space="0"/>
              <w:left w:val="single" w:color="000000" w:sz="4" w:space="0"/>
              <w:bottom w:val="single" w:color="000000" w:sz="4" w:space="0"/>
              <w:right w:val="single" w:color="000000" w:sz="4" w:space="0"/>
            </w:tcBorders>
            <w:vAlign w:val="center"/>
          </w:tcPr>
          <w:p w14:paraId="4DD62A8F">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r>
      <w:tr w14:paraId="0E7A7992">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00373958">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上一年度发生两次及两次以上有责任道路交通事故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04E36A61">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c>
          <w:tcPr>
            <w:tcW w:w="1559" w:type="dxa"/>
            <w:tcBorders>
              <w:top w:val="single" w:color="000000" w:sz="4" w:space="0"/>
              <w:left w:val="single" w:color="000000" w:sz="4" w:space="0"/>
              <w:bottom w:val="single" w:color="000000" w:sz="4" w:space="0"/>
              <w:right w:val="single" w:color="000000" w:sz="4" w:space="0"/>
            </w:tcBorders>
            <w:vAlign w:val="center"/>
          </w:tcPr>
          <w:p w14:paraId="2D2A085F">
            <w:pPr>
              <w:widowControl/>
              <w:jc w:val="center"/>
              <w:textAlignment w:val="center"/>
              <w:rPr>
                <w:rFonts w:ascii="宋体" w:hAnsi="宋体" w:cs="宋体"/>
                <w:sz w:val="24"/>
                <w:highlight w:val="none"/>
              </w:rPr>
            </w:pPr>
            <w:r>
              <w:rPr>
                <w:rFonts w:hint="eastAsia" w:ascii="宋体" w:hAnsi="宋体" w:cs="宋体"/>
                <w:kern w:val="0"/>
                <w:sz w:val="24"/>
                <w:highlight w:val="none"/>
              </w:rPr>
              <w:t>1.1</w:t>
            </w:r>
          </w:p>
        </w:tc>
      </w:tr>
      <w:tr w14:paraId="618108E8">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7AA2C589">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上一年度发生有责任道路交通死亡事故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6D266B0A">
            <w:pPr>
              <w:widowControl/>
              <w:jc w:val="center"/>
              <w:textAlignment w:val="center"/>
              <w:rPr>
                <w:rFonts w:ascii="宋体" w:hAnsi="宋体" w:cs="宋体"/>
                <w:sz w:val="24"/>
                <w:highlight w:val="none"/>
              </w:rPr>
            </w:pPr>
            <w:r>
              <w:rPr>
                <w:rFonts w:hint="eastAsia" w:ascii="宋体" w:hAnsi="宋体" w:cs="宋体"/>
                <w:kern w:val="0"/>
                <w:sz w:val="24"/>
                <w:highlight w:val="none"/>
              </w:rPr>
              <w:t>-30%</w:t>
            </w:r>
          </w:p>
        </w:tc>
        <w:tc>
          <w:tcPr>
            <w:tcW w:w="1559" w:type="dxa"/>
            <w:tcBorders>
              <w:top w:val="single" w:color="000000" w:sz="4" w:space="0"/>
              <w:left w:val="single" w:color="000000" w:sz="4" w:space="0"/>
              <w:bottom w:val="single" w:color="000000" w:sz="4" w:space="0"/>
              <w:right w:val="single" w:color="000000" w:sz="4" w:space="0"/>
            </w:tcBorders>
            <w:vAlign w:val="center"/>
          </w:tcPr>
          <w:p w14:paraId="0116EF67">
            <w:pPr>
              <w:widowControl/>
              <w:jc w:val="center"/>
              <w:textAlignment w:val="center"/>
              <w:rPr>
                <w:rFonts w:ascii="宋体" w:hAnsi="宋体" w:cs="宋体"/>
                <w:sz w:val="24"/>
                <w:highlight w:val="none"/>
              </w:rPr>
            </w:pPr>
            <w:r>
              <w:rPr>
                <w:rFonts w:hint="eastAsia" w:ascii="宋体" w:hAnsi="宋体" w:cs="宋体"/>
                <w:kern w:val="0"/>
                <w:sz w:val="24"/>
                <w:highlight w:val="none"/>
              </w:rPr>
              <w:t>1.3</w:t>
            </w:r>
          </w:p>
        </w:tc>
      </w:tr>
    </w:tbl>
    <w:p w14:paraId="35B29E45">
      <w:pPr>
        <w:pStyle w:val="11"/>
        <w:snapToGrid w:val="0"/>
        <w:spacing w:before="156" w:after="156" w:line="360" w:lineRule="auto"/>
        <w:ind w:firstLine="482" w:firstLineChars="200"/>
        <w:rPr>
          <w:rFonts w:ascii="Times New Roman" w:hAnsi="宋体" w:cs="宋体"/>
          <w:b/>
          <w:bCs/>
          <w:kern w:val="0"/>
          <w:sz w:val="24"/>
          <w:highlight w:val="none"/>
        </w:rPr>
      </w:pPr>
      <w:r>
        <w:rPr>
          <w:rFonts w:hint="eastAsia" w:hAnsi="宋体" w:cs="宋体"/>
          <w:b/>
          <w:bCs/>
          <w:kern w:val="0"/>
          <w:sz w:val="24"/>
          <w:highlight w:val="none"/>
        </w:rPr>
        <w:t>3、车船税部分：根据中国保险监督管理委员会下发的《关于修改机动车交通事故责任强制保险保单的通知》（保监产险[ 2007]501号）文件精神，在机动车交通事故责任强制保险（以下简称“交强险”）保单中增加与车船税有关的数据项目。浙江金豹运业有限公司车辆代收车船税的具体适用税额按照国家及浙江省相关规定的子税目税额幅度内确定按实结算。</w:t>
      </w:r>
    </w:p>
    <w:p w14:paraId="503B62E7">
      <w:pPr>
        <w:snapToGrid w:val="0"/>
        <w:spacing w:line="360" w:lineRule="auto"/>
        <w:ind w:firstLine="482" w:firstLineChars="200"/>
        <w:rPr>
          <w:rFonts w:ascii="宋体" w:hAnsi="宋体" w:cs="宋体"/>
          <w:b/>
          <w:bCs/>
          <w:kern w:val="0"/>
          <w:sz w:val="24"/>
          <w:highlight w:val="none"/>
        </w:rPr>
      </w:pPr>
      <w:r>
        <w:rPr>
          <w:rFonts w:hint="eastAsia" w:hAnsi="宋体" w:cs="宋体"/>
          <w:b/>
          <w:bCs/>
          <w:kern w:val="0"/>
          <w:sz w:val="24"/>
          <w:highlight w:val="none"/>
        </w:rPr>
        <w:t>4、商业保险部分，</w:t>
      </w:r>
      <w:r>
        <w:rPr>
          <w:rFonts w:hint="eastAsia" w:ascii="宋体" w:hAnsi="宋体" w:cs="宋体"/>
          <w:b/>
          <w:bCs/>
          <w:kern w:val="0"/>
          <w:sz w:val="24"/>
          <w:highlight w:val="none"/>
        </w:rPr>
        <w:t>按下列规则和公式计算应交商业保险保费：</w:t>
      </w:r>
    </w:p>
    <w:p w14:paraId="114AD33D">
      <w:pPr>
        <w:pStyle w:val="22"/>
        <w:numPr>
          <w:ilvl w:val="0"/>
          <w:numId w:val="12"/>
        </w:numPr>
        <w:ind w:left="0" w:firstLine="480"/>
        <w:rPr>
          <w:highlight w:val="none"/>
        </w:rPr>
      </w:pPr>
      <w:r>
        <w:rPr>
          <w:rFonts w:hint="eastAsia"/>
          <w:highlight w:val="none"/>
        </w:rPr>
        <w:t>具体险种及责任限额见下表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4050"/>
        <w:gridCol w:w="3120"/>
      </w:tblGrid>
      <w:tr w14:paraId="74EA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895" w:type="dxa"/>
            <w:vAlign w:val="center"/>
          </w:tcPr>
          <w:p w14:paraId="5D7BF3F8">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编号</w:t>
            </w:r>
          </w:p>
        </w:tc>
        <w:tc>
          <w:tcPr>
            <w:tcW w:w="4050" w:type="dxa"/>
            <w:vAlign w:val="center"/>
          </w:tcPr>
          <w:p w14:paraId="2CEB4CC7">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承保险种名称</w:t>
            </w:r>
          </w:p>
        </w:tc>
        <w:tc>
          <w:tcPr>
            <w:tcW w:w="3120" w:type="dxa"/>
            <w:vAlign w:val="center"/>
          </w:tcPr>
          <w:p w14:paraId="3A0E2232">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责任限额（元）</w:t>
            </w:r>
          </w:p>
        </w:tc>
      </w:tr>
      <w:tr w14:paraId="4DE4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95" w:type="dxa"/>
            <w:vAlign w:val="center"/>
          </w:tcPr>
          <w:p w14:paraId="5A3E30B6">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1</w:t>
            </w:r>
          </w:p>
        </w:tc>
        <w:tc>
          <w:tcPr>
            <w:tcW w:w="4050" w:type="dxa"/>
            <w:vAlign w:val="center"/>
          </w:tcPr>
          <w:p w14:paraId="50AE3E1C">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机动车损失保险</w:t>
            </w:r>
          </w:p>
        </w:tc>
        <w:tc>
          <w:tcPr>
            <w:tcW w:w="3120" w:type="dxa"/>
            <w:vAlign w:val="center"/>
          </w:tcPr>
          <w:p w14:paraId="1DCD6F63">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按投保时车辆的新车购置价或实际价值确定。</w:t>
            </w:r>
          </w:p>
        </w:tc>
      </w:tr>
      <w:tr w14:paraId="31FD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5" w:type="dxa"/>
            <w:vAlign w:val="center"/>
          </w:tcPr>
          <w:p w14:paraId="4D5BE364">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2</w:t>
            </w:r>
          </w:p>
        </w:tc>
        <w:tc>
          <w:tcPr>
            <w:tcW w:w="4050" w:type="dxa"/>
            <w:vAlign w:val="center"/>
          </w:tcPr>
          <w:p w14:paraId="75A30256">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机动车第三者责任保险</w:t>
            </w:r>
          </w:p>
        </w:tc>
        <w:tc>
          <w:tcPr>
            <w:tcW w:w="3120" w:type="dxa"/>
            <w:vAlign w:val="center"/>
          </w:tcPr>
          <w:p w14:paraId="58C7C17B">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200万</w:t>
            </w:r>
          </w:p>
        </w:tc>
      </w:tr>
      <w:tr w14:paraId="12FE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5" w:type="dxa"/>
            <w:vAlign w:val="center"/>
          </w:tcPr>
          <w:p w14:paraId="384B9357">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3</w:t>
            </w:r>
          </w:p>
        </w:tc>
        <w:tc>
          <w:tcPr>
            <w:tcW w:w="4050" w:type="dxa"/>
            <w:vAlign w:val="center"/>
          </w:tcPr>
          <w:p w14:paraId="75B6B6CE">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附加医保外医疗费用责任险</w:t>
            </w:r>
          </w:p>
        </w:tc>
        <w:tc>
          <w:tcPr>
            <w:tcW w:w="3120" w:type="dxa"/>
            <w:vAlign w:val="center"/>
          </w:tcPr>
          <w:p w14:paraId="2E43A38E">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10万</w:t>
            </w:r>
          </w:p>
        </w:tc>
      </w:tr>
    </w:tbl>
    <w:p w14:paraId="53BEBCA3">
      <w:pPr>
        <w:snapToGrid w:val="0"/>
        <w:spacing w:line="360" w:lineRule="auto"/>
        <w:ind w:firstLine="480" w:firstLineChars="200"/>
        <w:rPr>
          <w:rFonts w:ascii="宋体" w:hAnsi="宋体" w:cs="宋体"/>
          <w:b/>
          <w:bCs/>
          <w:kern w:val="0"/>
          <w:sz w:val="24"/>
          <w:highlight w:val="none"/>
        </w:rPr>
      </w:pPr>
      <w:r>
        <w:rPr>
          <w:rFonts w:hint="eastAsia" w:ascii="宋体" w:hAnsi="宋体" w:cs="宋体"/>
          <w:sz w:val="24"/>
          <w:highlight w:val="none"/>
        </w:rPr>
        <w:t>备注：采购人有权根据实际情况变更投保责任限额，增加或减少投保险种。</w:t>
      </w:r>
    </w:p>
    <w:p w14:paraId="4353476A">
      <w:pPr>
        <w:pStyle w:val="22"/>
        <w:numPr>
          <w:ilvl w:val="0"/>
          <w:numId w:val="12"/>
        </w:numPr>
        <w:ind w:left="0" w:firstLine="480"/>
        <w:rPr>
          <w:highlight w:val="none"/>
        </w:rPr>
      </w:pPr>
      <w:r>
        <w:rPr>
          <w:rFonts w:hint="eastAsia"/>
          <w:highlight w:val="none"/>
        </w:rPr>
        <w:t>商业车险费率表</w:t>
      </w:r>
    </w:p>
    <w:tbl>
      <w:tblPr>
        <w:tblStyle w:val="24"/>
        <w:tblW w:w="0" w:type="auto"/>
        <w:tblInd w:w="20" w:type="dxa"/>
        <w:tblLayout w:type="fixed"/>
        <w:tblCellMar>
          <w:top w:w="15" w:type="dxa"/>
          <w:left w:w="15" w:type="dxa"/>
          <w:bottom w:w="15" w:type="dxa"/>
          <w:right w:w="15" w:type="dxa"/>
        </w:tblCellMar>
      </w:tblPr>
      <w:tblGrid>
        <w:gridCol w:w="4508"/>
        <w:gridCol w:w="4158"/>
      </w:tblGrid>
      <w:tr w14:paraId="3CDBB926">
        <w:tblPrEx>
          <w:tblCellMar>
            <w:top w:w="15" w:type="dxa"/>
            <w:left w:w="15" w:type="dxa"/>
            <w:bottom w:w="15" w:type="dxa"/>
            <w:right w:w="15" w:type="dxa"/>
          </w:tblCellMar>
        </w:tblPrEx>
        <w:trPr>
          <w:trHeight w:val="512" w:hRule="atLeast"/>
        </w:trPr>
        <w:tc>
          <w:tcPr>
            <w:tcW w:w="8666" w:type="dxa"/>
            <w:gridSpan w:val="2"/>
            <w:tcBorders>
              <w:top w:val="nil"/>
              <w:left w:val="nil"/>
              <w:bottom w:val="single" w:color="000000" w:sz="4" w:space="0"/>
              <w:right w:val="nil"/>
            </w:tcBorders>
            <w:vAlign w:val="center"/>
          </w:tcPr>
          <w:p w14:paraId="2B0404CB">
            <w:pPr>
              <w:widowControl/>
              <w:jc w:val="center"/>
              <w:textAlignment w:val="center"/>
              <w:rPr>
                <w:rFonts w:ascii="宋体" w:hAnsi="宋体" w:cs="宋体"/>
                <w:b/>
                <w:bCs/>
                <w:kern w:val="0"/>
                <w:sz w:val="24"/>
                <w:highlight w:val="none"/>
              </w:rPr>
            </w:pPr>
            <w:r>
              <w:rPr>
                <w:rFonts w:hint="eastAsia" w:ascii="宋体" w:hAnsi="宋体" w:cs="宋体"/>
                <w:b/>
                <w:bCs/>
                <w:kern w:val="0"/>
                <w:sz w:val="24"/>
                <w:highlight w:val="none"/>
              </w:rPr>
              <w:t>机动车商业险保险无赔款优待系数（2020版）</w:t>
            </w:r>
          </w:p>
        </w:tc>
      </w:tr>
      <w:tr w14:paraId="7630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8666" w:type="dxa"/>
            <w:gridSpan w:val="2"/>
            <w:tcMar>
              <w:top w:w="15" w:type="dxa"/>
              <w:left w:w="15" w:type="dxa"/>
              <w:bottom w:w="0" w:type="dxa"/>
              <w:right w:w="15" w:type="dxa"/>
            </w:tcMar>
            <w:vAlign w:val="center"/>
          </w:tcPr>
          <w:p w14:paraId="30F4DDBA">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商业险NCD</w:t>
            </w:r>
          </w:p>
        </w:tc>
      </w:tr>
      <w:tr w14:paraId="6E66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4508" w:type="dxa"/>
            <w:tcMar>
              <w:top w:w="15" w:type="dxa"/>
              <w:left w:w="15" w:type="dxa"/>
              <w:bottom w:w="0" w:type="dxa"/>
              <w:right w:w="15" w:type="dxa"/>
            </w:tcMar>
            <w:vAlign w:val="center"/>
          </w:tcPr>
          <w:p w14:paraId="76C1F055">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NCD等级</w:t>
            </w:r>
          </w:p>
        </w:tc>
        <w:tc>
          <w:tcPr>
            <w:tcW w:w="4158" w:type="dxa"/>
            <w:tcMar>
              <w:top w:w="15" w:type="dxa"/>
              <w:left w:w="15" w:type="dxa"/>
              <w:bottom w:w="0" w:type="dxa"/>
              <w:right w:w="15" w:type="dxa"/>
            </w:tcMar>
            <w:vAlign w:val="center"/>
          </w:tcPr>
          <w:p w14:paraId="179A8F0E">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NCD系数</w:t>
            </w:r>
          </w:p>
        </w:tc>
      </w:tr>
      <w:tr w14:paraId="3343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trPr>
        <w:tc>
          <w:tcPr>
            <w:tcW w:w="4508" w:type="dxa"/>
            <w:tcMar>
              <w:top w:w="15" w:type="dxa"/>
              <w:left w:w="15" w:type="dxa"/>
              <w:bottom w:w="0" w:type="dxa"/>
              <w:right w:w="15" w:type="dxa"/>
            </w:tcMar>
            <w:vAlign w:val="center"/>
          </w:tcPr>
          <w:p w14:paraId="60A4112E">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-4</w:t>
            </w:r>
          </w:p>
        </w:tc>
        <w:tc>
          <w:tcPr>
            <w:tcW w:w="4158" w:type="dxa"/>
            <w:tcMar>
              <w:top w:w="15" w:type="dxa"/>
              <w:left w:w="15" w:type="dxa"/>
              <w:bottom w:w="0" w:type="dxa"/>
              <w:right w:w="15" w:type="dxa"/>
            </w:tcMar>
            <w:vAlign w:val="center"/>
          </w:tcPr>
          <w:p w14:paraId="58664E8F">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0.5</w:t>
            </w:r>
          </w:p>
        </w:tc>
      </w:tr>
      <w:tr w14:paraId="57CE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76C38AF0">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-3</w:t>
            </w:r>
          </w:p>
        </w:tc>
        <w:tc>
          <w:tcPr>
            <w:tcW w:w="4158" w:type="dxa"/>
            <w:tcMar>
              <w:top w:w="15" w:type="dxa"/>
              <w:left w:w="15" w:type="dxa"/>
              <w:bottom w:w="0" w:type="dxa"/>
              <w:right w:w="15" w:type="dxa"/>
            </w:tcMar>
            <w:vAlign w:val="center"/>
          </w:tcPr>
          <w:p w14:paraId="21974CE2">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0.6</w:t>
            </w:r>
          </w:p>
        </w:tc>
      </w:tr>
      <w:tr w14:paraId="71A5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3C5C1F91">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c>
          <w:tcPr>
            <w:tcW w:w="4158" w:type="dxa"/>
            <w:tcMar>
              <w:top w:w="15" w:type="dxa"/>
              <w:left w:w="15" w:type="dxa"/>
              <w:bottom w:w="0" w:type="dxa"/>
              <w:right w:w="15" w:type="dxa"/>
            </w:tcMar>
            <w:vAlign w:val="center"/>
          </w:tcPr>
          <w:p w14:paraId="190EBDEC">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0.7</w:t>
            </w:r>
          </w:p>
        </w:tc>
      </w:tr>
      <w:tr w14:paraId="63E1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6D5B79F7">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c>
          <w:tcPr>
            <w:tcW w:w="4158" w:type="dxa"/>
            <w:tcMar>
              <w:top w:w="15" w:type="dxa"/>
              <w:left w:w="15" w:type="dxa"/>
              <w:bottom w:w="0" w:type="dxa"/>
              <w:right w:w="15" w:type="dxa"/>
            </w:tcMar>
            <w:vAlign w:val="center"/>
          </w:tcPr>
          <w:p w14:paraId="1AB0AE57">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0.8</w:t>
            </w:r>
          </w:p>
        </w:tc>
      </w:tr>
      <w:tr w14:paraId="32FC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12EAFBEC">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w:t>
            </w:r>
          </w:p>
        </w:tc>
        <w:tc>
          <w:tcPr>
            <w:tcW w:w="4158" w:type="dxa"/>
            <w:tcMar>
              <w:top w:w="15" w:type="dxa"/>
              <w:left w:w="15" w:type="dxa"/>
              <w:bottom w:w="0" w:type="dxa"/>
              <w:right w:w="15" w:type="dxa"/>
            </w:tcMar>
            <w:vAlign w:val="center"/>
          </w:tcPr>
          <w:p w14:paraId="68926169">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r>
      <w:tr w14:paraId="048A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360CB74B">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c>
          <w:tcPr>
            <w:tcW w:w="4158" w:type="dxa"/>
            <w:tcMar>
              <w:top w:w="15" w:type="dxa"/>
              <w:left w:w="15" w:type="dxa"/>
              <w:bottom w:w="0" w:type="dxa"/>
              <w:right w:w="15" w:type="dxa"/>
            </w:tcMar>
            <w:vAlign w:val="center"/>
          </w:tcPr>
          <w:p w14:paraId="605DBBE4">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1.2</w:t>
            </w:r>
          </w:p>
        </w:tc>
      </w:tr>
      <w:tr w14:paraId="37C3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21A929FB">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c>
          <w:tcPr>
            <w:tcW w:w="4158" w:type="dxa"/>
            <w:tcMar>
              <w:top w:w="15" w:type="dxa"/>
              <w:left w:w="15" w:type="dxa"/>
              <w:bottom w:w="0" w:type="dxa"/>
              <w:right w:w="15" w:type="dxa"/>
            </w:tcMar>
            <w:vAlign w:val="center"/>
          </w:tcPr>
          <w:p w14:paraId="3D7ECDAC">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1.4</w:t>
            </w:r>
          </w:p>
        </w:tc>
      </w:tr>
      <w:tr w14:paraId="282A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5B30E495">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3</w:t>
            </w:r>
          </w:p>
        </w:tc>
        <w:tc>
          <w:tcPr>
            <w:tcW w:w="4158" w:type="dxa"/>
            <w:tcMar>
              <w:top w:w="15" w:type="dxa"/>
              <w:left w:w="15" w:type="dxa"/>
              <w:bottom w:w="0" w:type="dxa"/>
              <w:right w:w="15" w:type="dxa"/>
            </w:tcMar>
            <w:vAlign w:val="center"/>
          </w:tcPr>
          <w:p w14:paraId="1F62A635">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1.6</w:t>
            </w:r>
          </w:p>
        </w:tc>
      </w:tr>
      <w:tr w14:paraId="5440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41372C72">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4</w:t>
            </w:r>
          </w:p>
        </w:tc>
        <w:tc>
          <w:tcPr>
            <w:tcW w:w="4158" w:type="dxa"/>
            <w:tcMar>
              <w:top w:w="15" w:type="dxa"/>
              <w:left w:w="15" w:type="dxa"/>
              <w:bottom w:w="0" w:type="dxa"/>
              <w:right w:w="15" w:type="dxa"/>
            </w:tcMar>
            <w:vAlign w:val="center"/>
          </w:tcPr>
          <w:p w14:paraId="4EB53CD0">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1.8</w:t>
            </w:r>
          </w:p>
        </w:tc>
      </w:tr>
      <w:tr w14:paraId="2BFE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782CB5DA">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5</w:t>
            </w:r>
          </w:p>
        </w:tc>
        <w:tc>
          <w:tcPr>
            <w:tcW w:w="4158" w:type="dxa"/>
            <w:tcMar>
              <w:top w:w="15" w:type="dxa"/>
              <w:left w:w="15" w:type="dxa"/>
              <w:bottom w:w="0" w:type="dxa"/>
              <w:right w:w="15" w:type="dxa"/>
            </w:tcMar>
            <w:vAlign w:val="center"/>
          </w:tcPr>
          <w:p w14:paraId="359B5906">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r>
    </w:tbl>
    <w:p w14:paraId="772B3BDB">
      <w:pPr>
        <w:widowControl/>
        <w:jc w:val="left"/>
        <w:textAlignment w:val="center"/>
        <w:rPr>
          <w:rFonts w:ascii="宋体" w:hAnsi="宋体" w:cs="宋体"/>
          <w:kern w:val="0"/>
          <w:sz w:val="24"/>
          <w:highlight w:val="none"/>
        </w:rPr>
      </w:pPr>
      <w:r>
        <w:rPr>
          <w:rFonts w:hint="eastAsia" w:ascii="宋体" w:hAnsi="宋体" w:cs="宋体"/>
          <w:kern w:val="0"/>
          <w:sz w:val="24"/>
          <w:highlight w:val="none"/>
        </w:rPr>
        <w:t>注：NCD等级计算规则：(出险次数-连续投保年数)</w:t>
      </w:r>
    </w:p>
    <w:p w14:paraId="78535929">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首年投保，等级为0；</w:t>
      </w:r>
    </w:p>
    <w:p w14:paraId="18AF01BD">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非首年投保，考虑最近三年及以上连续投保和出险情况进行计算,计算规则如下:</w:t>
      </w:r>
    </w:p>
    <w:p w14:paraId="48E969C9">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连续四年及以上投保且没有发生赔款，等级为-4；</w:t>
      </w:r>
    </w:p>
    <w:p w14:paraId="14D08C8F">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按照最近三年连续投保年数计算降级数，每连续投保1年降1级,按照最近三年出险情况计算升级数,每发生1次赔款升1级。最终等级为升级数减去降级数,最高为5级。</w:t>
      </w:r>
    </w:p>
    <w:p w14:paraId="0AFC5E25">
      <w:pPr>
        <w:pStyle w:val="22"/>
        <w:numPr>
          <w:ilvl w:val="0"/>
          <w:numId w:val="12"/>
        </w:numPr>
        <w:ind w:left="0" w:firstLine="480"/>
        <w:rPr>
          <w:highlight w:val="none"/>
        </w:rPr>
      </w:pPr>
      <w:r>
        <w:rPr>
          <w:rFonts w:hint="eastAsia"/>
          <w:highlight w:val="none"/>
        </w:rPr>
        <w:t>商业险保费=标准保费*商业险NCD*自主定价系数</w:t>
      </w:r>
    </w:p>
    <w:p w14:paraId="6664A3A7">
      <w:pPr>
        <w:widowControl/>
        <w:ind w:firstLine="960" w:firstLineChars="400"/>
        <w:jc w:val="left"/>
        <w:textAlignment w:val="center"/>
        <w:rPr>
          <w:rFonts w:ascii="宋体" w:hAnsi="宋体" w:cs="宋体"/>
          <w:kern w:val="0"/>
          <w:sz w:val="24"/>
          <w:highlight w:val="none"/>
        </w:rPr>
      </w:pPr>
      <w:r>
        <w:rPr>
          <w:rFonts w:hint="eastAsia" w:ascii="宋体" w:hAnsi="宋体" w:cs="宋体"/>
          <w:kern w:val="0"/>
          <w:sz w:val="24"/>
          <w:highlight w:val="none"/>
        </w:rPr>
        <w:t>标准保费=行业纯保费/(1-附加费用率)</w:t>
      </w:r>
    </w:p>
    <w:p w14:paraId="5974EA23">
      <w:pPr>
        <w:widowControl/>
        <w:ind w:firstLine="960" w:firstLineChars="400"/>
        <w:jc w:val="left"/>
        <w:textAlignment w:val="center"/>
        <w:rPr>
          <w:rFonts w:ascii="宋体" w:hAnsi="宋体" w:cs="宋体"/>
          <w:kern w:val="0"/>
          <w:sz w:val="24"/>
          <w:highlight w:val="none"/>
        </w:rPr>
      </w:pPr>
      <w:r>
        <w:rPr>
          <w:rFonts w:hint="eastAsia" w:ascii="宋体" w:hAnsi="宋体" w:cs="宋体"/>
          <w:kern w:val="0"/>
          <w:sz w:val="24"/>
          <w:highlight w:val="none"/>
        </w:rPr>
        <w:t>行业纯保费涉及到多个因子组成</w:t>
      </w:r>
    </w:p>
    <w:p w14:paraId="58EF6FAD">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新旧车保险NCD系数和自主定价系数均按台州市保险行业规定执行,根据车辆以前投保出险记录来调整保险费率。</w:t>
      </w:r>
    </w:p>
    <w:p w14:paraId="0E95A318">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5、如保险期间遇保险费政策性调整，乙方应将调整依据和方案及时书面通知甲方，且须给予最大优惠幅度，具体由双方协商，协商不成的，甲方有权提前终止保险合同。</w:t>
      </w:r>
    </w:p>
    <w:p w14:paraId="2B73C865">
      <w:pPr>
        <w:spacing w:line="360" w:lineRule="auto"/>
        <w:outlineLvl w:val="1"/>
        <w:rPr>
          <w:rFonts w:ascii="宋体" w:hAnsi="宋体" w:cs="宋体"/>
          <w:b/>
          <w:sz w:val="24"/>
          <w:highlight w:val="none"/>
        </w:rPr>
      </w:pPr>
      <w:r>
        <w:rPr>
          <w:rFonts w:hint="eastAsia" w:ascii="宋体" w:hAnsi="宋体" w:cs="宋体"/>
          <w:b/>
          <w:sz w:val="24"/>
          <w:highlight w:val="none"/>
        </w:rPr>
        <w:t>五、税费</w:t>
      </w:r>
    </w:p>
    <w:p w14:paraId="09A3DA5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本合同执行中相关的一切税费均由乙方负担。</w:t>
      </w:r>
    </w:p>
    <w:p w14:paraId="1A26E246">
      <w:pPr>
        <w:spacing w:line="360" w:lineRule="auto"/>
        <w:outlineLvl w:val="1"/>
        <w:rPr>
          <w:rFonts w:ascii="宋体" w:hAnsi="宋体" w:cs="宋体"/>
          <w:b/>
          <w:sz w:val="24"/>
          <w:highlight w:val="none"/>
        </w:rPr>
      </w:pPr>
      <w:r>
        <w:rPr>
          <w:rFonts w:hint="eastAsia" w:ascii="宋体" w:hAnsi="宋体" w:cs="宋体"/>
          <w:b/>
          <w:sz w:val="24"/>
          <w:highlight w:val="none"/>
        </w:rPr>
        <w:t>六、质量保证及后续服务</w:t>
      </w:r>
    </w:p>
    <w:p w14:paraId="1302F8B2">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1、乙方应按招标文件规定向甲方提供服务。</w:t>
      </w:r>
    </w:p>
    <w:p w14:paraId="2C505133">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2、被保险人报案后，承诺</w:t>
      </w:r>
      <w:r>
        <w:rPr>
          <w:rFonts w:hint="eastAsia" w:hAnsi="宋体" w:cs="宋体"/>
          <w:kern w:val="0"/>
          <w:sz w:val="24"/>
          <w:highlight w:val="none"/>
          <w:u w:val="single"/>
        </w:rPr>
        <w:t xml:space="preserve">   </w:t>
      </w:r>
      <w:r>
        <w:rPr>
          <w:rFonts w:hint="eastAsia" w:hAnsi="宋体" w:cs="宋体"/>
          <w:kern w:val="0"/>
          <w:sz w:val="24"/>
          <w:highlight w:val="none"/>
        </w:rPr>
        <w:t>分钟内到达。</w:t>
      </w:r>
    </w:p>
    <w:p w14:paraId="50CB8183">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3、投标人承诺在被保险人发生事故损失后，1万及以下事故定损为  个工作日内，1-5万为   个工作日内，5万以上为   个工作日内。</w:t>
      </w:r>
    </w:p>
    <w:p w14:paraId="1ABEBCA3">
      <w:pPr>
        <w:pStyle w:val="11"/>
        <w:snapToGrid w:val="0"/>
        <w:spacing w:before="156" w:after="156" w:line="360" w:lineRule="auto"/>
        <w:ind w:firstLine="480" w:firstLineChars="200"/>
        <w:rPr>
          <w:rFonts w:ascii="仿宋" w:hAnsi="仿宋" w:eastAsia="仿宋" w:cs="仿宋"/>
          <w:sz w:val="24"/>
          <w:highlight w:val="none"/>
        </w:rPr>
      </w:pPr>
      <w:r>
        <w:rPr>
          <w:rFonts w:hint="eastAsia" w:hAnsi="宋体" w:cs="宋体"/>
          <w:kern w:val="0"/>
          <w:sz w:val="24"/>
          <w:highlight w:val="none"/>
        </w:rPr>
        <w:t>4、投标人承诺1万元及以下（除有人伤外）赔款，索赔手续齐全，保证</w:t>
      </w:r>
      <w:r>
        <w:rPr>
          <w:rFonts w:hint="eastAsia" w:hAnsi="宋体" w:cs="宋体"/>
          <w:kern w:val="0"/>
          <w:sz w:val="24"/>
          <w:highlight w:val="none"/>
          <w:u w:val="single"/>
        </w:rPr>
        <w:t xml:space="preserve">    </w:t>
      </w:r>
      <w:r>
        <w:rPr>
          <w:rFonts w:hint="eastAsia" w:hAnsi="宋体" w:cs="宋体"/>
          <w:kern w:val="0"/>
          <w:sz w:val="24"/>
          <w:highlight w:val="none"/>
        </w:rPr>
        <w:t>个工作日内赔付；1-5万元（含5万元、除有人伤外）赔款，索赔手续齐全，保证</w:t>
      </w:r>
      <w:r>
        <w:rPr>
          <w:rFonts w:hint="eastAsia" w:hAnsi="宋体" w:cs="宋体"/>
          <w:kern w:val="0"/>
          <w:sz w:val="24"/>
          <w:highlight w:val="none"/>
          <w:u w:val="single"/>
        </w:rPr>
        <w:t xml:space="preserve">     </w:t>
      </w:r>
      <w:r>
        <w:rPr>
          <w:rFonts w:hint="eastAsia" w:hAnsi="宋体" w:cs="宋体"/>
          <w:kern w:val="0"/>
          <w:sz w:val="24"/>
          <w:highlight w:val="none"/>
        </w:rPr>
        <w:t>个工作日内赔付；5-10万元（含10万元、除有人伤外）赔款，索赔手续齐全，保证</w:t>
      </w:r>
      <w:r>
        <w:rPr>
          <w:rFonts w:hint="eastAsia" w:hAnsi="宋体" w:cs="宋体"/>
          <w:kern w:val="0"/>
          <w:sz w:val="24"/>
          <w:highlight w:val="none"/>
          <w:u w:val="single"/>
        </w:rPr>
        <w:t xml:space="preserve">  </w:t>
      </w:r>
      <w:r>
        <w:rPr>
          <w:rFonts w:hint="eastAsia" w:hAnsi="宋体" w:cs="宋体"/>
          <w:kern w:val="0"/>
          <w:sz w:val="24"/>
          <w:highlight w:val="none"/>
        </w:rPr>
        <w:t>个工作日内赔付；10-20万元（含20万元、除有人伤外）赔款，索赔手续齐全，保证</w:t>
      </w:r>
      <w:r>
        <w:rPr>
          <w:rFonts w:hint="eastAsia" w:hAnsi="宋体" w:cs="宋体"/>
          <w:kern w:val="0"/>
          <w:sz w:val="24"/>
          <w:highlight w:val="none"/>
          <w:u w:val="single"/>
        </w:rPr>
        <w:t xml:space="preserve">  </w:t>
      </w:r>
      <w:r>
        <w:rPr>
          <w:rFonts w:hint="eastAsia" w:hAnsi="宋体" w:cs="宋体"/>
          <w:kern w:val="0"/>
          <w:sz w:val="24"/>
          <w:highlight w:val="none"/>
        </w:rPr>
        <w:t>个工作日内赔付；20万元以上赔款（除有人伤外），索赔手续齐全，保证</w:t>
      </w:r>
      <w:r>
        <w:rPr>
          <w:rFonts w:hint="eastAsia" w:hAnsi="宋体" w:cs="宋体"/>
          <w:kern w:val="0"/>
          <w:sz w:val="24"/>
          <w:highlight w:val="none"/>
          <w:u w:val="single"/>
        </w:rPr>
        <w:t xml:space="preserve">  </w:t>
      </w:r>
      <w:r>
        <w:rPr>
          <w:rFonts w:hint="eastAsia" w:hAnsi="宋体" w:cs="宋体"/>
          <w:kern w:val="0"/>
          <w:sz w:val="24"/>
          <w:highlight w:val="none"/>
        </w:rPr>
        <w:t>个工作日内赔付。</w:t>
      </w:r>
    </w:p>
    <w:p w14:paraId="12926ECF">
      <w:pPr>
        <w:pStyle w:val="11"/>
        <w:snapToGrid w:val="0"/>
        <w:spacing w:before="156" w:after="156" w:line="360" w:lineRule="auto"/>
        <w:ind w:firstLine="482" w:firstLineChars="200"/>
        <w:rPr>
          <w:rFonts w:hAnsi="宋体" w:cs="宋体"/>
          <w:b/>
          <w:sz w:val="24"/>
          <w:highlight w:val="none"/>
        </w:rPr>
      </w:pPr>
      <w:r>
        <w:rPr>
          <w:rFonts w:hint="eastAsia" w:hAnsi="宋体" w:cs="宋体"/>
          <w:b/>
          <w:sz w:val="24"/>
          <w:highlight w:val="none"/>
        </w:rPr>
        <w:t>七、违约责任</w:t>
      </w:r>
    </w:p>
    <w:p w14:paraId="269DE080">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1、在本合同签订前，乙方向甲方交纳</w:t>
      </w:r>
      <w:r>
        <w:rPr>
          <w:rFonts w:hint="eastAsia" w:hAnsi="宋体" w:cs="宋体"/>
          <w:kern w:val="0"/>
          <w:sz w:val="24"/>
          <w:highlight w:val="none"/>
          <w:u w:val="single"/>
        </w:rPr>
        <w:t xml:space="preserve">    元整（  元）</w:t>
      </w:r>
      <w:r>
        <w:rPr>
          <w:rFonts w:hint="eastAsia" w:hAnsi="宋体" w:cs="宋体"/>
          <w:kern w:val="0"/>
          <w:sz w:val="24"/>
          <w:highlight w:val="none"/>
        </w:rPr>
        <w:t>作为合同履约保证金。在项目服务期限到期时，乙方提交全部档案材料，如无质量和服务问题，原额(无息)归还合同履约保证金。如果乙方未能按合同规定履行其义务，甲方有权从合同履约保证金中取得补偿。</w:t>
      </w:r>
    </w:p>
    <w:p w14:paraId="6447C59D">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2、甲方无故逾期验收和办理款项支付手续的，甲方应按逾期付款总额每日万分之五向乙方支付违约金。</w:t>
      </w:r>
    </w:p>
    <w:p w14:paraId="06F06BF0">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3、乙方未能如期签订合同并提供服务的，每日向甲方支付履约担保的百分之六作为违约金。乙方超过约定日期10个工作日仍不能提供服务的，甲方可解除本合同，所有履约担保归甲方所有。乙方因未能如期提供服务或因其他违约行为导致甲方解除合同的，甲方有权扣留履约担保，如造成甲方损失超过履约担保金额的，超出部分由乙方继续承担赔偿责任。</w:t>
      </w:r>
    </w:p>
    <w:p w14:paraId="1D3CA79B">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4、乙方如未能按照投标文件承诺的履行合同，甲方有权扣留百分之五的履约担保，如果发生3次以上未按投标文件承诺履行合同的情况，甲方有权单方面解除合同并扣留全部履约担保。如造成甲方损失超过履约担保金额的，超出部分由乙方继续承担赔偿责任。</w:t>
      </w:r>
    </w:p>
    <w:p w14:paraId="2DC95647">
      <w:pPr>
        <w:spacing w:line="360" w:lineRule="auto"/>
        <w:outlineLvl w:val="1"/>
        <w:rPr>
          <w:rFonts w:ascii="宋体" w:hAnsi="宋体" w:cs="宋体"/>
          <w:b/>
          <w:sz w:val="24"/>
          <w:highlight w:val="none"/>
        </w:rPr>
      </w:pPr>
      <w:r>
        <w:rPr>
          <w:rFonts w:hint="eastAsia" w:ascii="宋体" w:hAnsi="宋体" w:cs="宋体"/>
          <w:b/>
          <w:sz w:val="24"/>
          <w:highlight w:val="none"/>
        </w:rPr>
        <w:t>八、不可抗力事件处理</w:t>
      </w:r>
    </w:p>
    <w:p w14:paraId="6AF2BDA7">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1、在合同有效期内，任何一方因不可抗力事件导致不能履行合同，则合同履行期可延长，其延长期与不可抗力影响期相同。</w:t>
      </w:r>
    </w:p>
    <w:p w14:paraId="4A72A41C">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2、不可抗力事件发生后，应立即通知对方，并寄送有关权威机构出具的证明。</w:t>
      </w:r>
    </w:p>
    <w:p w14:paraId="776A10C7">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3、不可抗力事件延续120天以上，双方应通过友好协商，确定是否继续履行合同。</w:t>
      </w:r>
    </w:p>
    <w:p w14:paraId="7CC62DAF">
      <w:pPr>
        <w:spacing w:line="360" w:lineRule="auto"/>
        <w:outlineLvl w:val="1"/>
        <w:rPr>
          <w:rFonts w:ascii="宋体" w:hAnsi="宋体" w:cs="宋体"/>
          <w:b/>
          <w:sz w:val="24"/>
          <w:highlight w:val="none"/>
        </w:rPr>
      </w:pPr>
      <w:r>
        <w:rPr>
          <w:rFonts w:hint="eastAsia" w:ascii="宋体" w:hAnsi="宋体" w:cs="宋体"/>
          <w:b/>
          <w:sz w:val="24"/>
          <w:highlight w:val="none"/>
        </w:rPr>
        <w:t>九、争议与争议的解决</w:t>
      </w:r>
    </w:p>
    <w:p w14:paraId="0827B055">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因本合同产生的或与本合同有关的任何争议、纠纷或索赔，包括有关本合同的存在、效力或终止的问题，各方应通过友好协商解决。如协商不成或无法协商的，则交由甲方所在地人民法院依法裁决。</w:t>
      </w:r>
    </w:p>
    <w:p w14:paraId="7F372963">
      <w:pPr>
        <w:spacing w:line="360" w:lineRule="auto"/>
        <w:outlineLvl w:val="1"/>
        <w:rPr>
          <w:rFonts w:ascii="宋体" w:hAnsi="宋体" w:cs="宋体"/>
          <w:b/>
          <w:sz w:val="24"/>
          <w:highlight w:val="none"/>
        </w:rPr>
      </w:pPr>
      <w:r>
        <w:rPr>
          <w:rFonts w:hint="eastAsia" w:ascii="宋体" w:hAnsi="宋体" w:cs="宋体"/>
          <w:b/>
          <w:sz w:val="24"/>
          <w:highlight w:val="none"/>
        </w:rPr>
        <w:t>十、合同生效及其它</w:t>
      </w:r>
    </w:p>
    <w:p w14:paraId="3C96B4A7">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1、合同执行中涉及采购资金和采购内容修改或补充的，方可作为主合同不可分割的一部分。</w:t>
      </w:r>
    </w:p>
    <w:p w14:paraId="1C541196">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2、招标文件、投标文件及评标过程中形成的文字资料、询标纪要均作为本合同的组成部分，具有同等效力。</w:t>
      </w:r>
    </w:p>
    <w:p w14:paraId="5E72610B">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3、本合同未尽事宜，遵照《中华人民共和国民法典》有关条文执行。</w:t>
      </w:r>
    </w:p>
    <w:p w14:paraId="7935141A">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4、本合同正本一式陆份，具有同等法律效力，甲乙双方各执叁份。</w:t>
      </w:r>
    </w:p>
    <w:p w14:paraId="6D631EBF">
      <w:pPr>
        <w:widowControl/>
        <w:spacing w:line="360" w:lineRule="auto"/>
        <w:ind w:left="-134" w:leftChars="-64" w:firstLine="480" w:firstLineChars="200"/>
        <w:jc w:val="left"/>
        <w:rPr>
          <w:rFonts w:ascii="宋体" w:hAnsi="宋体" w:cs="宋体"/>
          <w:kern w:val="0"/>
          <w:sz w:val="24"/>
          <w:highlight w:val="none"/>
        </w:rPr>
      </w:pPr>
    </w:p>
    <w:p w14:paraId="71E2C4F5">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甲方（盖章）：                            乙方（盖章）：        </w:t>
      </w:r>
    </w:p>
    <w:p w14:paraId="3BBB4CA3">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                                机构负责人</w:t>
      </w:r>
    </w:p>
    <w:p w14:paraId="3D6F880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或受委托人（签字或盖章）：                或受委托人（签字或盖章）：  </w:t>
      </w:r>
    </w:p>
    <w:p w14:paraId="6C9A6B61">
      <w:pPr>
        <w:spacing w:line="360" w:lineRule="auto"/>
        <w:ind w:firstLine="480" w:firstLineChars="200"/>
        <w:rPr>
          <w:rFonts w:ascii="宋体" w:hAnsi="宋体" w:cs="宋体"/>
          <w:sz w:val="24"/>
          <w:highlight w:val="none"/>
        </w:rPr>
      </w:pPr>
      <w:r>
        <w:rPr>
          <w:rFonts w:hint="eastAsia" w:ascii="宋体" w:hAnsi="宋体" w:cs="宋体"/>
          <w:sz w:val="24"/>
          <w:highlight w:val="none"/>
        </w:rPr>
        <w:t>联系人：                                  联系人：</w:t>
      </w:r>
    </w:p>
    <w:p w14:paraId="3A862BC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地址：                                    地址： </w:t>
      </w:r>
    </w:p>
    <w:p w14:paraId="0F360CE0">
      <w:pPr>
        <w:spacing w:line="360" w:lineRule="auto"/>
        <w:ind w:firstLine="480" w:firstLineChars="200"/>
        <w:rPr>
          <w:rFonts w:ascii="宋体" w:hAnsi="宋体" w:cs="宋体"/>
          <w:sz w:val="24"/>
          <w:highlight w:val="none"/>
        </w:rPr>
      </w:pPr>
      <w:r>
        <w:rPr>
          <w:rFonts w:hint="eastAsia" w:ascii="宋体" w:hAnsi="宋体" w:cs="宋体"/>
          <w:sz w:val="24"/>
          <w:highlight w:val="none"/>
        </w:rPr>
        <w:t>电话：                                    电话：</w:t>
      </w:r>
    </w:p>
    <w:p w14:paraId="6D6FAAF0">
      <w:pPr>
        <w:spacing w:line="360" w:lineRule="auto"/>
        <w:ind w:firstLine="480" w:firstLineChars="200"/>
        <w:rPr>
          <w:rFonts w:ascii="宋体" w:hAnsi="宋体" w:cs="宋体"/>
          <w:sz w:val="24"/>
          <w:highlight w:val="none"/>
        </w:rPr>
      </w:pPr>
      <w:r>
        <w:rPr>
          <w:rFonts w:hint="eastAsia" w:ascii="宋体" w:hAnsi="宋体" w:cs="宋体"/>
          <w:sz w:val="24"/>
          <w:highlight w:val="none"/>
        </w:rPr>
        <w:t>传真：                                    传真：</w:t>
      </w:r>
    </w:p>
    <w:p w14:paraId="167CB30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开户银行：                                开户银行： </w:t>
      </w:r>
    </w:p>
    <w:p w14:paraId="72110109">
      <w:pPr>
        <w:spacing w:line="360" w:lineRule="auto"/>
        <w:ind w:firstLine="480" w:firstLineChars="200"/>
        <w:rPr>
          <w:rFonts w:ascii="宋体" w:hAnsi="宋体" w:cs="宋体"/>
          <w:sz w:val="24"/>
          <w:highlight w:val="none"/>
        </w:rPr>
      </w:pPr>
      <w:r>
        <w:rPr>
          <w:rFonts w:hint="eastAsia" w:ascii="宋体" w:hAnsi="宋体" w:cs="宋体"/>
          <w:sz w:val="24"/>
          <w:highlight w:val="none"/>
        </w:rPr>
        <w:t>帐号：                                    帐号：</w:t>
      </w:r>
    </w:p>
    <w:p w14:paraId="07245057">
      <w:pPr>
        <w:spacing w:line="360" w:lineRule="auto"/>
        <w:jc w:val="center"/>
        <w:rPr>
          <w:rFonts w:asciiTheme="minorEastAsia" w:hAnsiTheme="minorEastAsia" w:eastAsiaTheme="minorEastAsia"/>
          <w:b/>
          <w:sz w:val="36"/>
          <w:szCs w:val="36"/>
          <w:highlight w:val="none"/>
        </w:rPr>
      </w:pPr>
    </w:p>
    <w:p w14:paraId="73BCA1BE">
      <w:pPr>
        <w:rPr>
          <w:rFonts w:asciiTheme="minorEastAsia" w:hAnsiTheme="minorEastAsia" w:eastAsiaTheme="minorEastAsia"/>
          <w:b/>
          <w:sz w:val="36"/>
          <w:szCs w:val="36"/>
          <w:highlight w:val="none"/>
        </w:rPr>
      </w:pPr>
      <w:r>
        <w:rPr>
          <w:rFonts w:asciiTheme="minorEastAsia" w:hAnsiTheme="minorEastAsia" w:eastAsiaTheme="minorEastAsia"/>
          <w:b/>
          <w:sz w:val="36"/>
          <w:szCs w:val="36"/>
          <w:highlight w:val="none"/>
        </w:rPr>
        <w:br w:type="page"/>
      </w:r>
    </w:p>
    <w:p w14:paraId="15B9E431">
      <w:pPr>
        <w:spacing w:line="360" w:lineRule="auto"/>
        <w:jc w:val="center"/>
        <w:rPr>
          <w:rFonts w:asciiTheme="minorEastAsia" w:hAnsiTheme="minorEastAsia" w:eastAsiaTheme="minorEastAsia"/>
          <w:b/>
          <w:sz w:val="30"/>
          <w:szCs w:val="30"/>
          <w:highlight w:val="none"/>
        </w:rPr>
      </w:pPr>
      <w:r>
        <w:rPr>
          <w:rFonts w:hint="eastAsia" w:asciiTheme="minorEastAsia" w:hAnsiTheme="minorEastAsia" w:eastAsiaTheme="minorEastAsia"/>
          <w:b/>
          <w:sz w:val="36"/>
          <w:szCs w:val="36"/>
          <w:highlight w:val="none"/>
        </w:rPr>
        <w:t>第六章 投标文件格式</w:t>
      </w:r>
      <w:bookmarkEnd w:id="50"/>
    </w:p>
    <w:p w14:paraId="43292C62">
      <w:pPr>
        <w:spacing w:line="360" w:lineRule="auto"/>
        <w:jc w:val="center"/>
        <w:rPr>
          <w:sz w:val="52"/>
          <w:szCs w:val="52"/>
          <w:highlight w:val="none"/>
        </w:rPr>
      </w:pPr>
      <w:bookmarkStart w:id="51" w:name="_Toc19093_WPSOffice_Level1"/>
      <w:bookmarkStart w:id="52" w:name="_Toc4956_WPSOffice_Level1"/>
      <w:bookmarkStart w:id="53" w:name="_Toc32372_WPSOffice_Level1"/>
      <w:r>
        <w:rPr>
          <w:rFonts w:hint="eastAsia"/>
          <w:sz w:val="52"/>
          <w:szCs w:val="52"/>
          <w:highlight w:val="none"/>
        </w:rPr>
        <w:t>项目名称</w:t>
      </w:r>
      <w:bookmarkEnd w:id="51"/>
      <w:bookmarkEnd w:id="52"/>
      <w:bookmarkEnd w:id="53"/>
    </w:p>
    <w:p w14:paraId="014F7279">
      <w:pPr>
        <w:spacing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w:t>
      </w:r>
    </w:p>
    <w:p w14:paraId="6AF8810E">
      <w:pPr>
        <w:pStyle w:val="23"/>
        <w:spacing w:line="360" w:lineRule="auto"/>
        <w:rPr>
          <w:highlight w:val="none"/>
        </w:rPr>
      </w:pPr>
    </w:p>
    <w:p w14:paraId="2DA19FDA">
      <w:pPr>
        <w:spacing w:line="360" w:lineRule="auto"/>
        <w:jc w:val="center"/>
        <w:rPr>
          <w:sz w:val="84"/>
          <w:szCs w:val="84"/>
          <w:highlight w:val="none"/>
          <w:lang w:val="zh-CN"/>
        </w:rPr>
      </w:pPr>
      <w:r>
        <w:rPr>
          <w:rFonts w:hint="eastAsia"/>
          <w:sz w:val="84"/>
          <w:szCs w:val="84"/>
          <w:highlight w:val="none"/>
          <w:lang w:val="zh-CN"/>
        </w:rPr>
        <w:t>投</w:t>
      </w:r>
    </w:p>
    <w:p w14:paraId="08557EDA">
      <w:pPr>
        <w:spacing w:line="360" w:lineRule="auto"/>
        <w:jc w:val="center"/>
        <w:rPr>
          <w:sz w:val="84"/>
          <w:szCs w:val="84"/>
          <w:highlight w:val="none"/>
          <w:lang w:val="zh-CN"/>
        </w:rPr>
      </w:pPr>
      <w:r>
        <w:rPr>
          <w:rFonts w:hint="eastAsia"/>
          <w:sz w:val="84"/>
          <w:szCs w:val="84"/>
          <w:highlight w:val="none"/>
          <w:lang w:val="zh-CN"/>
        </w:rPr>
        <w:t>标</w:t>
      </w:r>
    </w:p>
    <w:p w14:paraId="4F309FF6">
      <w:pPr>
        <w:spacing w:line="360" w:lineRule="auto"/>
        <w:jc w:val="center"/>
        <w:rPr>
          <w:sz w:val="84"/>
          <w:szCs w:val="84"/>
          <w:highlight w:val="none"/>
        </w:rPr>
      </w:pPr>
      <w:r>
        <w:rPr>
          <w:rFonts w:hint="eastAsia"/>
          <w:sz w:val="84"/>
          <w:szCs w:val="84"/>
          <w:highlight w:val="none"/>
          <w:lang w:val="zh-CN"/>
        </w:rPr>
        <w:t>文</w:t>
      </w:r>
    </w:p>
    <w:p w14:paraId="2C59F684">
      <w:pPr>
        <w:spacing w:line="360" w:lineRule="auto"/>
        <w:jc w:val="center"/>
        <w:rPr>
          <w:sz w:val="84"/>
          <w:szCs w:val="84"/>
          <w:highlight w:val="none"/>
          <w:lang w:val="zh-CN"/>
        </w:rPr>
      </w:pPr>
      <w:r>
        <w:rPr>
          <w:rFonts w:hint="eastAsia"/>
          <w:sz w:val="84"/>
          <w:szCs w:val="84"/>
          <w:highlight w:val="none"/>
          <w:lang w:val="zh-CN"/>
        </w:rPr>
        <w:t>件</w:t>
      </w:r>
    </w:p>
    <w:p w14:paraId="6A2BF318">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
          <w:sz w:val="28"/>
          <w:szCs w:val="28"/>
          <w:highlight w:val="none"/>
        </w:rPr>
        <w:t>资格证明文件）</w:t>
      </w:r>
    </w:p>
    <w:p w14:paraId="56C754E1">
      <w:pPr>
        <w:pStyle w:val="23"/>
        <w:spacing w:line="360" w:lineRule="auto"/>
        <w:rPr>
          <w:highlight w:val="none"/>
        </w:rPr>
      </w:pPr>
    </w:p>
    <w:p w14:paraId="2E4C5F5A">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投标人全称（电子公章）：</w:t>
      </w:r>
    </w:p>
    <w:p w14:paraId="63E8F499">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地    址：</w:t>
      </w:r>
    </w:p>
    <w:p w14:paraId="2637D80B">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时    间：</w:t>
      </w:r>
    </w:p>
    <w:p w14:paraId="106C245D">
      <w:pPr>
        <w:pStyle w:val="6"/>
        <w:spacing w:line="360" w:lineRule="auto"/>
        <w:rPr>
          <w:rFonts w:ascii="FangSong_GB2312" w:hAnsi="宋体" w:eastAsia="FangSong_GB2312"/>
          <w:b/>
          <w:sz w:val="36"/>
          <w:szCs w:val="36"/>
          <w:highlight w:val="none"/>
        </w:rPr>
      </w:pPr>
    </w:p>
    <w:p w14:paraId="5A0A6D5B">
      <w:pPr>
        <w:rPr>
          <w:b/>
          <w:bCs/>
          <w:sz w:val="36"/>
          <w:szCs w:val="36"/>
          <w:highlight w:val="none"/>
        </w:rPr>
      </w:pPr>
      <w:r>
        <w:rPr>
          <w:rFonts w:hint="eastAsia"/>
          <w:b/>
          <w:bCs/>
          <w:sz w:val="36"/>
          <w:szCs w:val="36"/>
          <w:highlight w:val="none"/>
        </w:rPr>
        <w:br w:type="page"/>
      </w:r>
    </w:p>
    <w:p w14:paraId="45984925">
      <w:pPr>
        <w:spacing w:line="360" w:lineRule="auto"/>
        <w:jc w:val="center"/>
        <w:rPr>
          <w:b/>
          <w:bCs/>
          <w:sz w:val="36"/>
          <w:szCs w:val="36"/>
          <w:highlight w:val="none"/>
        </w:rPr>
      </w:pPr>
      <w:r>
        <w:rPr>
          <w:rFonts w:hint="eastAsia"/>
          <w:b/>
          <w:bCs/>
          <w:sz w:val="36"/>
          <w:szCs w:val="36"/>
          <w:highlight w:val="none"/>
        </w:rPr>
        <w:t>资格证明文件目录</w:t>
      </w:r>
    </w:p>
    <w:p w14:paraId="45BC1774">
      <w:pPr>
        <w:spacing w:line="360" w:lineRule="auto"/>
        <w:ind w:firstLine="560" w:firstLineChars="200"/>
        <w:rPr>
          <w:sz w:val="28"/>
          <w:szCs w:val="36"/>
          <w:highlight w:val="none"/>
        </w:rPr>
      </w:pPr>
    </w:p>
    <w:p w14:paraId="2B785E88">
      <w:pPr>
        <w:snapToGrid w:val="0"/>
        <w:spacing w:line="360" w:lineRule="auto"/>
        <w:ind w:firstLine="480" w:firstLineChars="200"/>
        <w:rPr>
          <w:rFonts w:ascii="宋体" w:hAnsi="宋体" w:cs="宋体"/>
          <w:sz w:val="24"/>
          <w:highlight w:val="none"/>
        </w:rPr>
      </w:pPr>
      <w:r>
        <w:rPr>
          <w:rFonts w:hint="eastAsia" w:ascii="宋体" w:hAnsi="宋体"/>
          <w:bCs/>
          <w:sz w:val="24"/>
          <w:highlight w:val="none"/>
        </w:rPr>
        <w:t>（1）</w:t>
      </w:r>
      <w:r>
        <w:rPr>
          <w:rFonts w:hint="eastAsia" w:ascii="宋体" w:hAnsi="宋体" w:cs="宋体"/>
          <w:sz w:val="24"/>
          <w:highlight w:val="none"/>
        </w:rPr>
        <w:t>投标声明书</w:t>
      </w:r>
      <w:r>
        <w:rPr>
          <w:rFonts w:hint="eastAsia" w:ascii="宋体" w:hAnsi="宋体"/>
          <w:bCs/>
          <w:sz w:val="24"/>
          <w:highlight w:val="none"/>
        </w:rPr>
        <w:t>（格式详见附件）</w:t>
      </w:r>
      <w:r>
        <w:rPr>
          <w:rFonts w:hint="eastAsia" w:ascii="宋体" w:hAnsi="宋体" w:cs="宋体"/>
          <w:sz w:val="24"/>
          <w:highlight w:val="none"/>
        </w:rPr>
        <w:t>；</w:t>
      </w:r>
    </w:p>
    <w:p w14:paraId="1DBA89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（2）授权委托书（法定代表人亲自办理投标事宜的，则无需提交；</w:t>
      </w:r>
      <w:r>
        <w:rPr>
          <w:rFonts w:hint="eastAsia" w:ascii="宋体" w:hAnsi="宋体"/>
          <w:bCs/>
          <w:sz w:val="24"/>
          <w:highlight w:val="none"/>
        </w:rPr>
        <w:t>格式详见附件</w:t>
      </w:r>
      <w:r>
        <w:rPr>
          <w:rFonts w:hint="eastAsia" w:ascii="宋体" w:hAnsi="宋体" w:cs="宋体"/>
          <w:sz w:val="24"/>
          <w:highlight w:val="none"/>
        </w:rPr>
        <w:t>）；</w:t>
      </w:r>
    </w:p>
    <w:p w14:paraId="4980B36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14:paraId="7F37A37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（4）具有依法缴纳税收和社会保障资金证明的承诺函（</w:t>
      </w:r>
      <w:r>
        <w:rPr>
          <w:rFonts w:hint="eastAsia" w:ascii="宋体" w:hAnsi="宋体"/>
          <w:bCs/>
          <w:sz w:val="24"/>
          <w:highlight w:val="none"/>
        </w:rPr>
        <w:t>格式详见附件</w:t>
      </w:r>
      <w:r>
        <w:rPr>
          <w:rFonts w:hint="eastAsia" w:ascii="宋体" w:hAnsi="宋体" w:cs="宋体"/>
          <w:sz w:val="24"/>
          <w:highlight w:val="none"/>
        </w:rPr>
        <w:t>）；</w:t>
      </w:r>
    </w:p>
    <w:p w14:paraId="22F9D8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（5）具有良好的商业信誉和健全的财务会计制度的承诺函（</w:t>
      </w:r>
      <w:r>
        <w:rPr>
          <w:rFonts w:hint="eastAsia" w:ascii="宋体" w:hAnsi="宋体"/>
          <w:bCs/>
          <w:sz w:val="24"/>
          <w:highlight w:val="none"/>
        </w:rPr>
        <w:t>格式详见附件</w:t>
      </w:r>
      <w:r>
        <w:rPr>
          <w:rFonts w:hint="eastAsia" w:ascii="宋体" w:hAnsi="宋体" w:cs="宋体"/>
          <w:sz w:val="24"/>
          <w:highlight w:val="none"/>
        </w:rPr>
        <w:t>）；</w:t>
      </w:r>
    </w:p>
    <w:p w14:paraId="4C09C18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（6）具有履行合同所必须的设备和专业技术能力的承诺函（</w:t>
      </w:r>
      <w:r>
        <w:rPr>
          <w:rFonts w:hint="eastAsia" w:ascii="宋体" w:hAnsi="宋体"/>
          <w:bCs/>
          <w:sz w:val="24"/>
          <w:highlight w:val="none"/>
        </w:rPr>
        <w:t>格式详见附件</w:t>
      </w:r>
      <w:r>
        <w:rPr>
          <w:rFonts w:hint="eastAsia" w:ascii="宋体" w:hAnsi="宋体" w:cs="宋体"/>
          <w:sz w:val="24"/>
          <w:highlight w:val="none"/>
        </w:rPr>
        <w:t>）；</w:t>
      </w:r>
    </w:p>
    <w:p w14:paraId="02724F65">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（7）对应资格要求相关的证明材料；</w:t>
      </w:r>
    </w:p>
    <w:p w14:paraId="40F5CDCC">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（8）需要说明的其他资料（如有）。</w:t>
      </w:r>
    </w:p>
    <w:p w14:paraId="4C58307E">
      <w:pPr>
        <w:spacing w:line="360" w:lineRule="auto"/>
        <w:rPr>
          <w:rFonts w:ascii="宋体" w:hAnsi="宋体"/>
          <w:b/>
          <w:sz w:val="28"/>
          <w:highlight w:val="none"/>
        </w:rPr>
      </w:pPr>
    </w:p>
    <w:p w14:paraId="2529349E">
      <w:pPr>
        <w:spacing w:line="360" w:lineRule="auto"/>
        <w:ind w:left="420"/>
        <w:rPr>
          <w:rFonts w:ascii="宋体" w:hAnsi="宋体"/>
          <w:b/>
          <w:sz w:val="28"/>
          <w:highlight w:val="none"/>
        </w:rPr>
      </w:pPr>
    </w:p>
    <w:p w14:paraId="542BDE66">
      <w:pPr>
        <w:pStyle w:val="34"/>
        <w:spacing w:line="360" w:lineRule="auto"/>
        <w:rPr>
          <w:rFonts w:ascii="宋体" w:hAnsi="宋体"/>
          <w:b/>
          <w:sz w:val="28"/>
          <w:highlight w:val="none"/>
        </w:rPr>
      </w:pPr>
    </w:p>
    <w:p w14:paraId="479D9A81">
      <w:pPr>
        <w:pStyle w:val="34"/>
        <w:spacing w:line="360" w:lineRule="auto"/>
        <w:rPr>
          <w:rFonts w:ascii="宋体" w:hAnsi="宋体"/>
          <w:b/>
          <w:sz w:val="28"/>
          <w:highlight w:val="none"/>
        </w:rPr>
      </w:pPr>
    </w:p>
    <w:p w14:paraId="352981CB">
      <w:pPr>
        <w:spacing w:line="360" w:lineRule="auto"/>
        <w:ind w:left="420"/>
        <w:rPr>
          <w:rFonts w:ascii="宋体" w:hAnsi="宋体"/>
          <w:b/>
          <w:sz w:val="28"/>
          <w:highlight w:val="none"/>
        </w:rPr>
      </w:pPr>
    </w:p>
    <w:p w14:paraId="58DC3E7B">
      <w:pPr>
        <w:spacing w:line="360" w:lineRule="auto"/>
        <w:ind w:left="420"/>
        <w:rPr>
          <w:rFonts w:ascii="宋体" w:hAnsi="宋体"/>
          <w:b/>
          <w:sz w:val="28"/>
          <w:highlight w:val="none"/>
        </w:rPr>
      </w:pPr>
    </w:p>
    <w:p w14:paraId="7CD37135">
      <w:pPr>
        <w:spacing w:line="360" w:lineRule="auto"/>
        <w:ind w:left="420"/>
        <w:rPr>
          <w:rFonts w:ascii="宋体" w:hAnsi="宋体"/>
          <w:b/>
          <w:sz w:val="28"/>
          <w:highlight w:val="none"/>
        </w:rPr>
      </w:pPr>
    </w:p>
    <w:p w14:paraId="0A366C66">
      <w:pPr>
        <w:spacing w:line="360" w:lineRule="auto"/>
        <w:ind w:left="420"/>
        <w:rPr>
          <w:rFonts w:ascii="宋体" w:hAnsi="宋体"/>
          <w:b/>
          <w:sz w:val="28"/>
          <w:highlight w:val="none"/>
        </w:rPr>
      </w:pPr>
    </w:p>
    <w:p w14:paraId="76BA4074">
      <w:pPr>
        <w:pStyle w:val="6"/>
        <w:spacing w:line="360" w:lineRule="auto"/>
        <w:rPr>
          <w:rFonts w:ascii="宋体" w:hAnsi="宋体"/>
          <w:b/>
          <w:sz w:val="28"/>
          <w:highlight w:val="none"/>
        </w:rPr>
      </w:pPr>
    </w:p>
    <w:p w14:paraId="309BDDD6">
      <w:pPr>
        <w:rPr>
          <w:rFonts w:ascii="宋体" w:hAnsi="宋体"/>
          <w:b/>
          <w:sz w:val="28"/>
          <w:highlight w:val="none"/>
        </w:rPr>
      </w:pPr>
      <w:r>
        <w:rPr>
          <w:rFonts w:hint="eastAsia" w:ascii="宋体" w:hAnsi="宋体"/>
          <w:b/>
          <w:sz w:val="28"/>
          <w:highlight w:val="none"/>
        </w:rPr>
        <w:br w:type="page"/>
      </w:r>
    </w:p>
    <w:p w14:paraId="6ED86285">
      <w:pPr>
        <w:spacing w:line="360" w:lineRule="auto"/>
        <w:rPr>
          <w:rFonts w:ascii="宋体" w:hAnsi="宋体"/>
          <w:b/>
          <w:sz w:val="28"/>
          <w:highlight w:val="none"/>
        </w:rPr>
      </w:pPr>
      <w:r>
        <w:rPr>
          <w:rFonts w:hint="eastAsia" w:ascii="宋体" w:hAnsi="宋体"/>
          <w:b/>
          <w:sz w:val="28"/>
          <w:highlight w:val="none"/>
        </w:rPr>
        <w:t>附件1</w:t>
      </w:r>
    </w:p>
    <w:p w14:paraId="59186A1E">
      <w:pPr>
        <w:adjustRightInd w:val="0"/>
        <w:snapToGrid w:val="0"/>
        <w:spacing w:line="360" w:lineRule="auto"/>
        <w:ind w:right="480"/>
        <w:jc w:val="center"/>
        <w:rPr>
          <w:rFonts w:ascii="宋体" w:hAnsi="宋体"/>
          <w:b/>
          <w:kern w:val="0"/>
          <w:sz w:val="32"/>
          <w:szCs w:val="32"/>
          <w:highlight w:val="none"/>
          <w:lang w:val="zh-CN"/>
        </w:rPr>
      </w:pPr>
      <w:bookmarkStart w:id="54" w:name="_Toc31708_WPSOffice_Level1"/>
      <w:bookmarkStart w:id="55" w:name="_Toc30723_WPSOffice_Level1"/>
      <w:r>
        <w:rPr>
          <w:rFonts w:hint="eastAsia" w:ascii="宋体" w:hAnsi="宋体"/>
          <w:b/>
          <w:kern w:val="0"/>
          <w:sz w:val="32"/>
          <w:szCs w:val="32"/>
          <w:highlight w:val="none"/>
          <w:lang w:val="zh-CN"/>
        </w:rPr>
        <w:t>投标声明书</w:t>
      </w:r>
      <w:bookmarkEnd w:id="54"/>
      <w:bookmarkEnd w:id="55"/>
    </w:p>
    <w:p w14:paraId="01240445">
      <w:pPr>
        <w:snapToGrid w:val="0"/>
        <w:spacing w:beforeLines="50" w:after="50" w:line="360" w:lineRule="auto"/>
        <w:rPr>
          <w:rFonts w:ascii="宋体" w:hAnsi="宋体" w:cs="宋体"/>
          <w:kern w:val="0"/>
          <w:sz w:val="24"/>
          <w:highlight w:val="none"/>
        </w:rPr>
      </w:pPr>
      <w:r>
        <w:rPr>
          <w:rFonts w:hint="eastAsia" w:ascii="宋体" w:hAnsi="宋体" w:cstheme="minorBidi"/>
          <w:sz w:val="24"/>
          <w:highlight w:val="none"/>
          <w:u w:val="single"/>
        </w:rPr>
        <w:t>台州市建设咨询有限公司</w:t>
      </w:r>
      <w:r>
        <w:rPr>
          <w:rFonts w:hint="eastAsia" w:ascii="宋体" w:hAnsi="宋体" w:cs="宋体"/>
          <w:kern w:val="0"/>
          <w:sz w:val="24"/>
          <w:highlight w:val="none"/>
        </w:rPr>
        <w:t>：</w:t>
      </w:r>
    </w:p>
    <w:p w14:paraId="28EF659C">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（投标人名称）</w:t>
      </w:r>
      <w:r>
        <w:rPr>
          <w:rFonts w:hint="eastAsia" w:ascii="宋体" w:hAnsi="宋体" w:cs="宋体"/>
          <w:kern w:val="0"/>
          <w:sz w:val="24"/>
          <w:highlight w:val="none"/>
        </w:rPr>
        <w:t>系中华人民共和国合法企业，经营地址。</w:t>
      </w:r>
    </w:p>
    <w:p w14:paraId="42799049">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姓名 ）</w:t>
      </w:r>
      <w:r>
        <w:rPr>
          <w:rFonts w:hint="eastAsia" w:ascii="宋体" w:hAnsi="宋体" w:cs="宋体"/>
          <w:kern w:val="0"/>
          <w:sz w:val="24"/>
          <w:highlight w:val="none"/>
        </w:rPr>
        <w:t>系</w:t>
      </w:r>
      <w:r>
        <w:rPr>
          <w:rFonts w:hint="eastAsia" w:ascii="宋体" w:hAnsi="宋体" w:cs="宋体"/>
          <w:kern w:val="0"/>
          <w:sz w:val="24"/>
          <w:highlight w:val="none"/>
          <w:u w:val="single"/>
        </w:rPr>
        <w:t>（ 投标人名称 ）</w:t>
      </w:r>
      <w:r>
        <w:rPr>
          <w:rFonts w:hint="eastAsia" w:ascii="宋体" w:hAnsi="宋体" w:cs="宋体"/>
          <w:kern w:val="0"/>
          <w:sz w:val="24"/>
          <w:highlight w:val="none"/>
        </w:rPr>
        <w:t>的机构负责人，我公司自愿参加贵方组织的（</w:t>
      </w:r>
      <w:r>
        <w:rPr>
          <w:rFonts w:hint="eastAsia" w:ascii="宋体" w:hAnsi="宋体" w:cs="宋体"/>
          <w:kern w:val="0"/>
          <w:sz w:val="24"/>
          <w:highlight w:val="none"/>
          <w:u w:val="single"/>
        </w:rPr>
        <w:t xml:space="preserve">              招标项目名称                </w:t>
      </w:r>
      <w:r>
        <w:rPr>
          <w:rFonts w:hint="eastAsia" w:ascii="宋体" w:hAnsi="宋体" w:cs="宋体"/>
          <w:kern w:val="0"/>
          <w:sz w:val="24"/>
          <w:highlight w:val="none"/>
        </w:rPr>
        <w:t>）（编号为</w:t>
      </w:r>
      <w:r>
        <w:rPr>
          <w:rFonts w:hint="eastAsia" w:ascii="宋体" w:hAnsi="宋体" w:cs="宋体"/>
          <w:kern w:val="0"/>
          <w:sz w:val="24"/>
          <w:highlight w:val="none"/>
          <w:u w:val="single"/>
        </w:rPr>
        <w:t xml:space="preserve">           </w:t>
      </w:r>
      <w:r>
        <w:rPr>
          <w:rFonts w:hint="eastAsia" w:ascii="宋体" w:hAnsi="宋体" w:cs="宋体"/>
          <w:kern w:val="0"/>
          <w:sz w:val="24"/>
          <w:highlight w:val="none"/>
        </w:rPr>
        <w:t>）的投标，为此，我公司就本次投标有关事项郑重声明如下：</w:t>
      </w:r>
    </w:p>
    <w:p w14:paraId="3EE9CFAB">
      <w:pPr>
        <w:numPr>
          <w:ilvl w:val="0"/>
          <w:numId w:val="13"/>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66910D94">
      <w:pPr>
        <w:numPr>
          <w:ilvl w:val="0"/>
          <w:numId w:val="13"/>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44E210AF">
      <w:pPr>
        <w:numPr>
          <w:ilvl w:val="0"/>
          <w:numId w:val="13"/>
        </w:numPr>
        <w:snapToGrid w:val="0"/>
        <w:spacing w:line="360" w:lineRule="auto"/>
        <w:ind w:left="5" w:firstLine="415"/>
        <w:rPr>
          <w:rFonts w:ascii="宋体" w:hAnsi="宋体"/>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不是采购人的附属机构；</w:t>
      </w:r>
      <w:r>
        <w:rPr>
          <w:rFonts w:hint="eastAsia" w:ascii="宋体" w:hAnsi="宋体"/>
          <w:sz w:val="24"/>
          <w:highlight w:val="none"/>
        </w:rPr>
        <w:t>在获知本项目采购信息后，与采购人聘请的为此项目提供咨询服务的公司及其附属机构没有任何联系。</w:t>
      </w:r>
    </w:p>
    <w:p w14:paraId="62F256D2">
      <w:pPr>
        <w:numPr>
          <w:ilvl w:val="0"/>
          <w:numId w:val="13"/>
        </w:numPr>
        <w:snapToGrid w:val="0"/>
        <w:spacing w:line="360" w:lineRule="auto"/>
        <w:ind w:left="5" w:firstLine="415"/>
        <w:rPr>
          <w:rFonts w:ascii="宋体" w:hAnsi="宋体"/>
          <w:kern w:val="0"/>
          <w:sz w:val="24"/>
          <w:highlight w:val="none"/>
          <w:lang w:val="af-ZA"/>
        </w:rPr>
      </w:pPr>
      <w:r>
        <w:rPr>
          <w:rFonts w:hint="eastAsia" w:ascii="宋体" w:hAnsi="宋体" w:cs="宋体"/>
          <w:kern w:val="0"/>
          <w:sz w:val="24"/>
          <w:highlight w:val="none"/>
        </w:rPr>
        <w:t>我</w:t>
      </w:r>
      <w:r>
        <w:rPr>
          <w:rFonts w:hint="eastAsia" w:ascii="宋体" w:hAnsi="宋体" w:cs="FangSong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FangSong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14:paraId="42FB956B">
      <w:pPr>
        <w:numPr>
          <w:ilvl w:val="0"/>
          <w:numId w:val="13"/>
        </w:numPr>
        <w:snapToGrid w:val="0"/>
        <w:spacing w:line="360" w:lineRule="auto"/>
        <w:ind w:left="5" w:firstLine="415"/>
        <w:rPr>
          <w:rFonts w:hint="eastAsia" w:ascii="FangSong_GB2312" w:hAnsi="FangSong_GB2312" w:cs="FangSong_GB2312"/>
          <w:sz w:val="24"/>
          <w:highlight w:val="none"/>
        </w:rPr>
      </w:pPr>
      <w:r>
        <w:rPr>
          <w:rFonts w:hint="eastAsia" w:ascii="宋体" w:hAnsi="宋体" w:cs="宋体"/>
          <w:kern w:val="0"/>
          <w:sz w:val="24"/>
          <w:highlight w:val="none"/>
          <w:lang w:val="af-ZA"/>
        </w:rPr>
        <w:t>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严格履行采购合同，不降低合同约定的产品质量和服务，不擅自变更、中止、终止合同，或拒绝履行合同义务。</w:t>
      </w:r>
    </w:p>
    <w:p w14:paraId="7A9684AF">
      <w:pPr>
        <w:numPr>
          <w:ilvl w:val="0"/>
          <w:numId w:val="13"/>
        </w:numPr>
        <w:snapToGrid w:val="0"/>
        <w:spacing w:line="360" w:lineRule="auto"/>
        <w:ind w:left="5" w:firstLine="415"/>
        <w:rPr>
          <w:highlight w:val="none"/>
        </w:rPr>
      </w:pPr>
      <w:r>
        <w:rPr>
          <w:rFonts w:hint="eastAsia" w:ascii="宋体" w:hAnsi="宋体"/>
          <w:sz w:val="24"/>
          <w:highlight w:val="none"/>
        </w:rPr>
        <w:t>以上事项如有虚假或隐瞒，我</w:t>
      </w:r>
      <w:r>
        <w:rPr>
          <w:rFonts w:hint="eastAsia" w:ascii="宋体" w:hAnsi="宋体" w:cs="FangSong_GB2312"/>
          <w:kern w:val="0"/>
          <w:sz w:val="24"/>
          <w:highlight w:val="none"/>
          <w:lang w:val="zh-CN"/>
        </w:rPr>
        <w:t>公司</w:t>
      </w:r>
      <w:r>
        <w:rPr>
          <w:rFonts w:hint="eastAsia" w:ascii="宋体" w:hAnsi="宋体"/>
          <w:sz w:val="24"/>
          <w:highlight w:val="none"/>
        </w:rPr>
        <w:t>愿意承担一切后果，并不再寻求任何旨在减轻或免除法律责任的辩解。</w:t>
      </w:r>
    </w:p>
    <w:p w14:paraId="0F1FF47E">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投标人名称（</w:t>
      </w:r>
      <w:r>
        <w:rPr>
          <w:rFonts w:hint="eastAsia" w:ascii="宋体"/>
          <w:sz w:val="24"/>
          <w:highlight w:val="none"/>
        </w:rPr>
        <w:t>电子</w:t>
      </w:r>
      <w:r>
        <w:rPr>
          <w:rFonts w:hint="eastAsia" w:ascii="宋体" w:hAnsi="宋体" w:cs="FangSong_GB2312"/>
          <w:kern w:val="0"/>
          <w:sz w:val="24"/>
          <w:highlight w:val="none"/>
          <w:lang w:val="zh-CN"/>
        </w:rPr>
        <w:t>公章）：</w:t>
      </w:r>
    </w:p>
    <w:p w14:paraId="24F07932">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法定代表人或授权委托人签字：</w:t>
      </w:r>
    </w:p>
    <w:p w14:paraId="38D32D7F">
      <w:pPr>
        <w:adjustRightInd w:val="0"/>
        <w:snapToGrid w:val="0"/>
        <w:spacing w:line="360" w:lineRule="auto"/>
        <w:ind w:firstLine="4838" w:firstLineChars="2016"/>
        <w:rPr>
          <w:rFonts w:ascii="宋体" w:hAnsi="宋体"/>
          <w:b/>
          <w:sz w:val="28"/>
          <w:highlight w:val="none"/>
        </w:rPr>
      </w:pPr>
      <w:r>
        <w:rPr>
          <w:rFonts w:hint="eastAsia" w:ascii="宋体" w:hAnsi="宋体" w:cs="FangSong_GB2312"/>
          <w:kern w:val="0"/>
          <w:sz w:val="24"/>
          <w:highlight w:val="none"/>
          <w:lang w:val="zh-CN"/>
        </w:rPr>
        <w:t>日期：</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年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月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日</w:t>
      </w:r>
    </w:p>
    <w:p w14:paraId="017CE29B">
      <w:pPr>
        <w:adjustRightInd w:val="0"/>
        <w:snapToGrid w:val="0"/>
        <w:spacing w:line="360" w:lineRule="auto"/>
        <w:ind w:right="480"/>
        <w:rPr>
          <w:rFonts w:ascii="宋体"/>
          <w:b/>
          <w:sz w:val="30"/>
          <w:szCs w:val="30"/>
          <w:highlight w:val="none"/>
        </w:rPr>
      </w:pPr>
      <w:r>
        <w:rPr>
          <w:rFonts w:hint="eastAsia" w:ascii="宋体" w:hAnsi="宋体"/>
          <w:b/>
          <w:sz w:val="28"/>
          <w:highlight w:val="none"/>
        </w:rPr>
        <w:t>附件2</w:t>
      </w:r>
    </w:p>
    <w:p w14:paraId="7C2F1632">
      <w:pPr>
        <w:spacing w:line="360" w:lineRule="auto"/>
        <w:ind w:firstLine="321" w:firstLineChars="100"/>
        <w:jc w:val="center"/>
        <w:rPr>
          <w:rFonts w:hAnsi="宋体"/>
          <w:b/>
          <w:sz w:val="32"/>
          <w:szCs w:val="32"/>
          <w:highlight w:val="none"/>
          <w:u w:val="single"/>
        </w:rPr>
      </w:pPr>
      <w:bookmarkStart w:id="56" w:name="_Toc6870_WPSOffice_Level1"/>
      <w:bookmarkStart w:id="57" w:name="_Toc24373_WPSOffice_Level1"/>
      <w:r>
        <w:rPr>
          <w:b/>
          <w:sz w:val="32"/>
          <w:szCs w:val="32"/>
          <w:highlight w:val="none"/>
        </w:rPr>
        <w:t>授权</w:t>
      </w:r>
      <w:r>
        <w:rPr>
          <w:rFonts w:hint="eastAsia"/>
          <w:b/>
          <w:sz w:val="32"/>
          <w:szCs w:val="32"/>
          <w:highlight w:val="none"/>
        </w:rPr>
        <w:t>委托</w:t>
      </w:r>
      <w:r>
        <w:rPr>
          <w:b/>
          <w:sz w:val="32"/>
          <w:szCs w:val="32"/>
          <w:highlight w:val="none"/>
        </w:rPr>
        <w:t>书</w:t>
      </w:r>
      <w:bookmarkEnd w:id="56"/>
      <w:bookmarkEnd w:id="57"/>
    </w:p>
    <w:p w14:paraId="08ECCA46">
      <w:pPr>
        <w:snapToGrid w:val="0"/>
        <w:spacing w:beforeLines="50" w:after="50" w:line="360" w:lineRule="auto"/>
        <w:rPr>
          <w:rFonts w:ascii="宋体" w:hAnsi="宋体" w:cs="宋体"/>
          <w:kern w:val="0"/>
          <w:sz w:val="24"/>
          <w:highlight w:val="none"/>
        </w:rPr>
      </w:pPr>
      <w:r>
        <w:rPr>
          <w:rFonts w:hint="eastAsia" w:ascii="宋体" w:hAnsi="宋体" w:cs="宋体"/>
          <w:kern w:val="0"/>
          <w:sz w:val="24"/>
          <w:highlight w:val="none"/>
          <w:u w:val="single"/>
        </w:rPr>
        <w:t>台州市建设咨询有限公司</w:t>
      </w:r>
      <w:r>
        <w:rPr>
          <w:rFonts w:hint="eastAsia" w:ascii="宋体" w:hAnsi="宋体" w:cs="宋体"/>
          <w:kern w:val="0"/>
          <w:sz w:val="24"/>
          <w:highlight w:val="none"/>
        </w:rPr>
        <w:t>：</w:t>
      </w:r>
    </w:p>
    <w:p w14:paraId="24D1017D">
      <w:pPr>
        <w:pStyle w:val="11"/>
        <w:spacing w:line="360" w:lineRule="auto"/>
        <w:ind w:firstLine="480" w:firstLineChars="200"/>
        <w:rPr>
          <w:rFonts w:hAnsi="宋体"/>
          <w:sz w:val="24"/>
          <w:highlight w:val="none"/>
        </w:rPr>
      </w:pPr>
      <w:r>
        <w:rPr>
          <w:rFonts w:hAnsi="宋体"/>
          <w:sz w:val="24"/>
          <w:highlight w:val="none"/>
          <w:u w:val="single"/>
        </w:rPr>
        <w:t xml:space="preserve">  （投标人全称）  </w:t>
      </w:r>
      <w:r>
        <w:rPr>
          <w:rFonts w:hAnsi="宋体"/>
          <w:sz w:val="24"/>
          <w:highlight w:val="none"/>
        </w:rPr>
        <w:t>法定代表人</w:t>
      </w:r>
      <w:r>
        <w:rPr>
          <w:rFonts w:hint="eastAsia" w:ascii="Arial" w:hAnsi="Arial" w:cs="Arial"/>
          <w:sz w:val="24"/>
          <w:highlight w:val="none"/>
        </w:rPr>
        <w:t>（或营业执照中机构负责人）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或营业执照中机构负责人</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Ansi="宋体"/>
          <w:sz w:val="24"/>
          <w:highlight w:val="none"/>
          <w:u w:val="single"/>
        </w:rPr>
        <w:tab/>
      </w:r>
      <w:r>
        <w:rPr>
          <w:rFonts w:hint="eastAsia" w:hAnsi="宋体"/>
          <w:sz w:val="24"/>
          <w:highlight w:val="none"/>
          <w:u w:val="single"/>
        </w:rPr>
        <w:t xml:space="preserve">                           </w:t>
      </w:r>
      <w:r>
        <w:rPr>
          <w:rFonts w:hAnsi="宋体"/>
          <w:sz w:val="24"/>
          <w:highlight w:val="none"/>
        </w:rPr>
        <w:t>项目</w:t>
      </w:r>
      <w:r>
        <w:rPr>
          <w:rFonts w:hint="eastAsia" w:hAnsi="宋体" w:cs="宋体"/>
          <w:kern w:val="0"/>
          <w:sz w:val="24"/>
          <w:highlight w:val="none"/>
        </w:rPr>
        <w:t>（编号为</w:t>
      </w:r>
      <w:r>
        <w:rPr>
          <w:rFonts w:hint="eastAsia" w:hAnsi="宋体" w:cs="宋体"/>
          <w:kern w:val="0"/>
          <w:sz w:val="24"/>
          <w:highlight w:val="none"/>
          <w:u w:val="single"/>
        </w:rPr>
        <w:t xml:space="preserve">           </w:t>
      </w:r>
      <w:r>
        <w:rPr>
          <w:rFonts w:hint="eastAsia" w:hAnsi="宋体" w:cs="宋体"/>
          <w:kern w:val="0"/>
          <w:sz w:val="24"/>
          <w:highlight w:val="none"/>
        </w:rPr>
        <w:t>）</w:t>
      </w:r>
      <w:r>
        <w:rPr>
          <w:rFonts w:hAnsi="宋体"/>
          <w:sz w:val="24"/>
          <w:highlight w:val="none"/>
        </w:rPr>
        <w:t>的采购活动，并代表我方全权办理针对上述项目的投标、开标、评标、签约等具体事务和签署相关文件。</w:t>
      </w:r>
      <w:r>
        <w:rPr>
          <w:rFonts w:hint="eastAsia" w:hAnsi="宋体"/>
          <w:sz w:val="24"/>
          <w:highlight w:val="none"/>
        </w:rPr>
        <w:t>我方对全权代表的签字事项负全部责任。</w:t>
      </w:r>
    </w:p>
    <w:p w14:paraId="23D9668F">
      <w:pPr>
        <w:pStyle w:val="11"/>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72FD99EB">
      <w:pPr>
        <w:pStyle w:val="11"/>
        <w:spacing w:line="360" w:lineRule="auto"/>
        <w:ind w:firstLine="480" w:firstLineChars="200"/>
        <w:rPr>
          <w:rFonts w:hAnsi="宋体"/>
          <w:sz w:val="24"/>
          <w:highlight w:val="none"/>
        </w:rPr>
      </w:pPr>
      <w:r>
        <w:rPr>
          <w:rFonts w:hint="eastAsia" w:hAnsi="宋体"/>
          <w:sz w:val="24"/>
          <w:highlight w:val="none"/>
        </w:rPr>
        <w:t>全权代表无转委托权，特此委托。</w:t>
      </w:r>
    </w:p>
    <w:p w14:paraId="02ED2D70">
      <w:pPr>
        <w:spacing w:line="360" w:lineRule="auto"/>
        <w:rPr>
          <w:sz w:val="24"/>
          <w:highlight w:val="none"/>
        </w:rPr>
      </w:pPr>
    </w:p>
    <w:p w14:paraId="46A7F9BF">
      <w:pPr>
        <w:spacing w:line="360" w:lineRule="auto"/>
        <w:rPr>
          <w:sz w:val="24"/>
          <w:highlight w:val="none"/>
        </w:rPr>
      </w:pPr>
      <w:r>
        <w:rPr>
          <w:rFonts w:hint="eastAsia" w:ascii="Arial" w:hAnsi="Arial" w:cs="Arial"/>
          <w:sz w:val="24"/>
          <w:highlight w:val="none"/>
        </w:rPr>
        <w:t>机构负责人</w:t>
      </w:r>
      <w:r>
        <w:rPr>
          <w:rFonts w:hint="eastAsia" w:ascii="宋体"/>
          <w:sz w:val="24"/>
          <w:highlight w:val="none"/>
        </w:rPr>
        <w:t>签字或盖章：</w:t>
      </w:r>
    </w:p>
    <w:p w14:paraId="21349D05">
      <w:pPr>
        <w:spacing w:line="360" w:lineRule="auto"/>
        <w:rPr>
          <w:sz w:val="24"/>
          <w:highlight w:val="none"/>
        </w:rPr>
      </w:pPr>
      <w:r>
        <w:rPr>
          <w:rFonts w:hint="eastAsia" w:ascii="宋体"/>
          <w:sz w:val="24"/>
          <w:highlight w:val="none"/>
        </w:rPr>
        <w:t>投标人全称（电子公章）：                              日期：</w:t>
      </w:r>
    </w:p>
    <w:p w14:paraId="3741E14E">
      <w:pPr>
        <w:spacing w:line="360" w:lineRule="auto"/>
        <w:rPr>
          <w:sz w:val="24"/>
          <w:highlight w:val="none"/>
        </w:rPr>
      </w:pPr>
    </w:p>
    <w:p w14:paraId="55A54753">
      <w:pPr>
        <w:spacing w:line="360" w:lineRule="auto"/>
        <w:rPr>
          <w:b/>
          <w:sz w:val="24"/>
          <w:highlight w:val="none"/>
        </w:rPr>
      </w:pPr>
      <w:r>
        <w:rPr>
          <w:rFonts w:hint="eastAsia" w:ascii="宋体"/>
          <w:b/>
          <w:sz w:val="24"/>
          <w:highlight w:val="none"/>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6A2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C64798F">
            <w:pPr>
              <w:spacing w:line="360" w:lineRule="auto"/>
              <w:rPr>
                <w:rFonts w:ascii="宋体"/>
                <w:b/>
                <w:sz w:val="24"/>
                <w:highlight w:val="none"/>
              </w:rPr>
            </w:pPr>
          </w:p>
          <w:p w14:paraId="61D98E76">
            <w:pPr>
              <w:spacing w:line="360" w:lineRule="auto"/>
              <w:ind w:firstLine="360" w:firstLineChars="150"/>
              <w:rPr>
                <w:rFonts w:ascii="宋体"/>
                <w:b/>
                <w:sz w:val="24"/>
                <w:highlight w:val="none"/>
              </w:rPr>
            </w:pPr>
            <w:r>
              <w:rPr>
                <w:rFonts w:hint="eastAsia" w:ascii="Arial" w:hAnsi="Arial" w:cs="Arial"/>
                <w:sz w:val="24"/>
                <w:highlight w:val="none"/>
              </w:rPr>
              <w:t>机构负责人</w:t>
            </w:r>
            <w:r>
              <w:rPr>
                <w:rFonts w:hint="eastAsia" w:ascii="宋体"/>
                <w:b/>
                <w:sz w:val="24"/>
                <w:highlight w:val="none"/>
              </w:rPr>
              <w:t>身份证正反面</w:t>
            </w:r>
          </w:p>
        </w:tc>
      </w:tr>
    </w:tbl>
    <w:p w14:paraId="650680F6">
      <w:pPr>
        <w:spacing w:line="360" w:lineRule="auto"/>
        <w:rPr>
          <w:sz w:val="24"/>
          <w:highlight w:val="none"/>
        </w:rPr>
      </w:pPr>
      <w:r>
        <w:rPr>
          <w:rFonts w:hint="eastAsia" w:ascii="Arial" w:hAnsi="Arial" w:cs="Arial"/>
          <w:sz w:val="24"/>
          <w:highlight w:val="none"/>
        </w:rPr>
        <w:t>机构负责人</w:t>
      </w:r>
      <w:r>
        <w:rPr>
          <w:rFonts w:hint="eastAsia" w:ascii="宋体"/>
          <w:sz w:val="24"/>
          <w:highlight w:val="none"/>
        </w:rPr>
        <w:t xml:space="preserve">姓名：                                 </w:t>
      </w:r>
    </w:p>
    <w:p w14:paraId="2E25CEE8">
      <w:pPr>
        <w:spacing w:line="360" w:lineRule="auto"/>
        <w:rPr>
          <w:sz w:val="24"/>
          <w:highlight w:val="none"/>
        </w:rPr>
      </w:pPr>
      <w:r>
        <w:rPr>
          <w:rFonts w:hint="eastAsia" w:ascii="宋体"/>
          <w:sz w:val="24"/>
          <w:highlight w:val="none"/>
        </w:rPr>
        <w:t>传真：</w:t>
      </w:r>
    </w:p>
    <w:p w14:paraId="340D532A">
      <w:pPr>
        <w:spacing w:line="360" w:lineRule="auto"/>
        <w:rPr>
          <w:rFonts w:ascii="宋体"/>
          <w:sz w:val="24"/>
          <w:highlight w:val="none"/>
        </w:rPr>
      </w:pPr>
      <w:r>
        <w:rPr>
          <w:rFonts w:hint="eastAsia" w:ascii="宋体"/>
          <w:sz w:val="24"/>
          <w:highlight w:val="none"/>
        </w:rPr>
        <w:t>电话：</w:t>
      </w:r>
    </w:p>
    <w:p w14:paraId="69DAE0EB">
      <w:pPr>
        <w:spacing w:line="360" w:lineRule="auto"/>
        <w:rPr>
          <w:sz w:val="24"/>
          <w:highlight w:val="none"/>
        </w:rPr>
      </w:pPr>
      <w:r>
        <w:rPr>
          <w:rFonts w:hint="eastAsia" w:ascii="宋体"/>
          <w:sz w:val="24"/>
          <w:highlight w:val="none"/>
        </w:rPr>
        <w:t>详细通讯地址：</w:t>
      </w:r>
    </w:p>
    <w:p w14:paraId="78C5F369">
      <w:pPr>
        <w:spacing w:line="360" w:lineRule="auto"/>
        <w:rPr>
          <w:rFonts w:ascii="宋体"/>
          <w:sz w:val="24"/>
          <w:highlight w:val="none"/>
        </w:rPr>
      </w:pPr>
      <w:r>
        <w:rPr>
          <w:rFonts w:hint="eastAsia" w:ascii="宋体"/>
          <w:sz w:val="24"/>
          <w:highlight w:val="none"/>
        </w:rPr>
        <w:t>邮政编码：</w:t>
      </w:r>
    </w:p>
    <w:p w14:paraId="3388F7B0">
      <w:pPr>
        <w:spacing w:line="360" w:lineRule="auto"/>
        <w:rPr>
          <w:b/>
          <w:sz w:val="24"/>
          <w:highlight w:val="none"/>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D38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A4FE908">
            <w:pPr>
              <w:spacing w:line="360" w:lineRule="auto"/>
              <w:rPr>
                <w:rFonts w:ascii="宋体"/>
                <w:b/>
                <w:sz w:val="24"/>
                <w:highlight w:val="none"/>
              </w:rPr>
            </w:pPr>
          </w:p>
          <w:p w14:paraId="1ADC6817">
            <w:pPr>
              <w:spacing w:line="360" w:lineRule="auto"/>
              <w:ind w:firstLine="361" w:firstLineChars="150"/>
              <w:rPr>
                <w:rFonts w:ascii="宋体"/>
                <w:b/>
                <w:sz w:val="24"/>
                <w:highlight w:val="none"/>
              </w:rPr>
            </w:pPr>
            <w:r>
              <w:rPr>
                <w:rFonts w:hint="eastAsia" w:ascii="宋体"/>
                <w:b/>
                <w:sz w:val="24"/>
                <w:highlight w:val="none"/>
              </w:rPr>
              <w:t>全权代表身份证正反面</w:t>
            </w:r>
          </w:p>
        </w:tc>
      </w:tr>
    </w:tbl>
    <w:p w14:paraId="5EFF7601">
      <w:pPr>
        <w:spacing w:line="360" w:lineRule="auto"/>
        <w:rPr>
          <w:rFonts w:ascii="宋体"/>
          <w:sz w:val="24"/>
          <w:highlight w:val="none"/>
        </w:rPr>
      </w:pPr>
      <w:r>
        <w:rPr>
          <w:rFonts w:hint="eastAsia" w:ascii="宋体"/>
          <w:sz w:val="24"/>
          <w:highlight w:val="none"/>
        </w:rPr>
        <w:t xml:space="preserve">全权代表姓名：       </w:t>
      </w:r>
    </w:p>
    <w:p w14:paraId="7CA4C6D9">
      <w:pPr>
        <w:spacing w:line="360" w:lineRule="auto"/>
        <w:rPr>
          <w:sz w:val="24"/>
          <w:highlight w:val="none"/>
        </w:rPr>
      </w:pPr>
      <w:r>
        <w:rPr>
          <w:rFonts w:hint="eastAsia" w:ascii="宋体"/>
          <w:sz w:val="24"/>
          <w:highlight w:val="none"/>
        </w:rPr>
        <w:t xml:space="preserve">职务：                           </w:t>
      </w:r>
    </w:p>
    <w:p w14:paraId="59ABBD29">
      <w:pPr>
        <w:spacing w:line="360" w:lineRule="auto"/>
        <w:rPr>
          <w:sz w:val="24"/>
          <w:highlight w:val="none"/>
        </w:rPr>
      </w:pPr>
      <w:r>
        <w:rPr>
          <w:rFonts w:hint="eastAsia" w:ascii="宋体"/>
          <w:sz w:val="24"/>
          <w:highlight w:val="none"/>
        </w:rPr>
        <w:t>传真：</w:t>
      </w:r>
    </w:p>
    <w:p w14:paraId="4DDBCEB4">
      <w:pPr>
        <w:spacing w:line="360" w:lineRule="auto"/>
        <w:rPr>
          <w:rFonts w:ascii="宋体"/>
          <w:sz w:val="24"/>
          <w:highlight w:val="none"/>
        </w:rPr>
      </w:pPr>
      <w:r>
        <w:rPr>
          <w:rFonts w:hint="eastAsia" w:ascii="宋体"/>
          <w:sz w:val="24"/>
          <w:highlight w:val="none"/>
        </w:rPr>
        <w:t>电话：</w:t>
      </w:r>
    </w:p>
    <w:p w14:paraId="407B7D9D">
      <w:pPr>
        <w:spacing w:line="360" w:lineRule="auto"/>
        <w:rPr>
          <w:sz w:val="24"/>
          <w:highlight w:val="none"/>
        </w:rPr>
      </w:pPr>
      <w:r>
        <w:rPr>
          <w:rFonts w:hint="eastAsia" w:ascii="宋体"/>
          <w:sz w:val="24"/>
          <w:highlight w:val="none"/>
        </w:rPr>
        <w:t>详细通讯地址：</w:t>
      </w:r>
    </w:p>
    <w:p w14:paraId="3A43CCAD">
      <w:pPr>
        <w:spacing w:line="360" w:lineRule="auto"/>
        <w:rPr>
          <w:rFonts w:ascii="宋体"/>
          <w:sz w:val="24"/>
          <w:highlight w:val="none"/>
        </w:rPr>
      </w:pPr>
      <w:r>
        <w:rPr>
          <w:rFonts w:hint="eastAsia" w:ascii="宋体"/>
          <w:sz w:val="24"/>
          <w:highlight w:val="none"/>
        </w:rPr>
        <w:t>邮政编码：</w:t>
      </w:r>
    </w:p>
    <w:p w14:paraId="5C5464B8">
      <w:pPr>
        <w:spacing w:line="360" w:lineRule="auto"/>
        <w:rPr>
          <w:rFonts w:ascii="宋体" w:hAnsi="宋体"/>
          <w:b/>
          <w:sz w:val="28"/>
          <w:highlight w:val="none"/>
        </w:rPr>
      </w:pPr>
    </w:p>
    <w:p w14:paraId="73E03199">
      <w:pPr>
        <w:spacing w:line="360" w:lineRule="auto"/>
        <w:rPr>
          <w:rFonts w:ascii="宋体" w:hAnsi="宋体"/>
          <w:b/>
          <w:sz w:val="28"/>
          <w:highlight w:val="none"/>
        </w:rPr>
      </w:pPr>
      <w:bookmarkStart w:id="58" w:name="_Toc26389_WPSOffice_Level1"/>
      <w:bookmarkStart w:id="59" w:name="_Toc12331_WPSOffice_Level1"/>
      <w:bookmarkStart w:id="60" w:name="_Toc16825_WPSOffice_Level1"/>
      <w:r>
        <w:rPr>
          <w:rFonts w:hint="eastAsia" w:ascii="宋体" w:hAnsi="宋体"/>
          <w:b/>
          <w:sz w:val="28"/>
          <w:highlight w:val="none"/>
        </w:rPr>
        <w:t>附件3</w:t>
      </w:r>
    </w:p>
    <w:p w14:paraId="1789D5F7">
      <w:pPr>
        <w:widowControl/>
        <w:adjustRightInd w:val="0"/>
        <w:snapToGrid w:val="0"/>
        <w:spacing w:line="360" w:lineRule="auto"/>
        <w:jc w:val="center"/>
        <w:rPr>
          <w:rFonts w:ascii="宋体" w:hAnsi="宋体"/>
          <w:b/>
          <w:kern w:val="0"/>
          <w:sz w:val="32"/>
          <w:szCs w:val="32"/>
          <w:highlight w:val="none"/>
        </w:rPr>
      </w:pPr>
      <w:r>
        <w:rPr>
          <w:rFonts w:hint="eastAsia" w:ascii="宋体" w:hAnsi="宋体"/>
          <w:b/>
          <w:kern w:val="0"/>
          <w:sz w:val="32"/>
          <w:szCs w:val="32"/>
          <w:highlight w:val="none"/>
        </w:rPr>
        <w:t>具有</w:t>
      </w:r>
      <w:r>
        <w:rPr>
          <w:rFonts w:ascii="宋体" w:hAnsi="宋体"/>
          <w:b/>
          <w:kern w:val="0"/>
          <w:sz w:val="32"/>
          <w:szCs w:val="32"/>
          <w:highlight w:val="none"/>
        </w:rPr>
        <w:t>依法缴纳税收和</w:t>
      </w:r>
      <w:r>
        <w:rPr>
          <w:rFonts w:hint="eastAsia" w:ascii="宋体" w:hAnsi="宋体"/>
          <w:b/>
          <w:kern w:val="0"/>
          <w:sz w:val="32"/>
          <w:szCs w:val="32"/>
          <w:highlight w:val="none"/>
        </w:rPr>
        <w:t>社会保障资金证明</w:t>
      </w:r>
      <w:r>
        <w:rPr>
          <w:rFonts w:ascii="宋体" w:hAnsi="宋体"/>
          <w:b/>
          <w:kern w:val="0"/>
          <w:sz w:val="32"/>
          <w:szCs w:val="32"/>
          <w:highlight w:val="none"/>
        </w:rPr>
        <w:t>的承诺函</w:t>
      </w:r>
    </w:p>
    <w:p w14:paraId="0BCB49BB">
      <w:pPr>
        <w:widowControl/>
        <w:adjustRightInd w:val="0"/>
        <w:snapToGrid w:val="0"/>
        <w:spacing w:line="360" w:lineRule="auto"/>
        <w:jc w:val="center"/>
        <w:rPr>
          <w:rFonts w:ascii="宋体" w:hAnsi="宋体"/>
          <w:b/>
          <w:kern w:val="0"/>
          <w:sz w:val="32"/>
          <w:szCs w:val="32"/>
          <w:highlight w:val="none"/>
        </w:rPr>
      </w:pPr>
    </w:p>
    <w:p w14:paraId="7CC26547">
      <w:pPr>
        <w:widowControl/>
        <w:adjustRightInd w:val="0"/>
        <w:snapToGrid w:val="0"/>
        <w:spacing w:line="360" w:lineRule="auto"/>
        <w:jc w:val="left"/>
        <w:rPr>
          <w:rFonts w:ascii="宋体" w:hAnsi="宋体"/>
          <w:kern w:val="0"/>
          <w:sz w:val="28"/>
          <w:szCs w:val="32"/>
          <w:highlight w:val="none"/>
        </w:rPr>
      </w:pPr>
      <w:r>
        <w:rPr>
          <w:rFonts w:hint="eastAsia" w:ascii="宋体" w:hAnsi="宋体"/>
          <w:kern w:val="0"/>
          <w:sz w:val="28"/>
          <w:szCs w:val="32"/>
          <w:highlight w:val="none"/>
        </w:rPr>
        <w:t>（如依法免税的，应提供相应文件证明其依法免税；如依法不需要缴纳社会保障资金的，应提供相应文件证明其依法不需要缴纳社会保障资金。）</w:t>
      </w:r>
    </w:p>
    <w:p w14:paraId="7047C4B8">
      <w:pPr>
        <w:adjustRightInd w:val="0"/>
        <w:snapToGrid w:val="0"/>
        <w:spacing w:line="360" w:lineRule="auto"/>
        <w:jc w:val="left"/>
        <w:rPr>
          <w:rFonts w:ascii="宋体" w:hAnsi="宋体"/>
          <w:b/>
          <w:kern w:val="0"/>
          <w:sz w:val="32"/>
          <w:szCs w:val="32"/>
          <w:highlight w:val="none"/>
        </w:rPr>
      </w:pPr>
    </w:p>
    <w:p w14:paraId="4D902D9C">
      <w:pPr>
        <w:widowControl/>
        <w:shd w:val="clear" w:color="auto" w:fill="FFFFFF"/>
        <w:spacing w:before="100" w:beforeAutospacing="1" w:after="100" w:afterAutospacing="1" w:line="360" w:lineRule="auto"/>
        <w:jc w:val="left"/>
        <w:rPr>
          <w:rFonts w:ascii="宋体" w:hAnsi="宋体"/>
          <w:kern w:val="0"/>
          <w:sz w:val="24"/>
          <w:highlight w:val="none"/>
        </w:rPr>
      </w:pPr>
      <w:r>
        <w:rPr>
          <w:rFonts w:hint="eastAsia" w:ascii="宋体" w:hAnsi="宋体"/>
          <w:kern w:val="0"/>
          <w:sz w:val="24"/>
          <w:highlight w:val="none"/>
          <w:u w:val="single"/>
        </w:rPr>
        <w:t>浙江金豹运业有限公司</w:t>
      </w:r>
      <w:r>
        <w:rPr>
          <w:rFonts w:ascii="宋体" w:hAnsi="宋体"/>
          <w:kern w:val="0"/>
          <w:sz w:val="24"/>
          <w:highlight w:val="none"/>
        </w:rPr>
        <w:t>：</w:t>
      </w:r>
    </w:p>
    <w:p w14:paraId="5D6B2285">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我单位</w:t>
      </w:r>
      <w:r>
        <w:rPr>
          <w:rFonts w:hint="eastAsia" w:ascii="宋体" w:hAnsi="宋体"/>
          <w:kern w:val="0"/>
          <w:sz w:val="24"/>
          <w:highlight w:val="none"/>
        </w:rPr>
        <w:t>具有</w:t>
      </w:r>
      <w:r>
        <w:rPr>
          <w:rFonts w:ascii="宋体" w:hAnsi="宋体"/>
          <w:kern w:val="0"/>
          <w:sz w:val="24"/>
          <w:highlight w:val="none"/>
        </w:rPr>
        <w:t>依法缴纳税收和</w:t>
      </w:r>
      <w:r>
        <w:rPr>
          <w:rFonts w:hint="eastAsia" w:ascii="宋体" w:hAnsi="宋体"/>
          <w:kern w:val="0"/>
          <w:sz w:val="24"/>
          <w:highlight w:val="none"/>
        </w:rPr>
        <w:t>社会保障资金</w:t>
      </w:r>
      <w:r>
        <w:rPr>
          <w:rFonts w:ascii="宋体" w:hAnsi="宋体"/>
          <w:kern w:val="0"/>
          <w:sz w:val="24"/>
          <w:highlight w:val="none"/>
        </w:rPr>
        <w:t>。如本声明失实，我单位自愿承担被取消成交资格等责任。</w:t>
      </w:r>
    </w:p>
    <w:p w14:paraId="47B2E84A">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0DFC3BA5">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投标人名称（</w:t>
      </w:r>
      <w:r>
        <w:rPr>
          <w:rFonts w:hint="eastAsia" w:ascii="宋体"/>
          <w:sz w:val="24"/>
          <w:highlight w:val="none"/>
        </w:rPr>
        <w:t>电子</w:t>
      </w:r>
      <w:r>
        <w:rPr>
          <w:rFonts w:hint="eastAsia" w:ascii="宋体" w:hAnsi="宋体" w:cs="FangSong_GB2312"/>
          <w:kern w:val="0"/>
          <w:sz w:val="24"/>
          <w:highlight w:val="none"/>
          <w:lang w:val="zh-CN"/>
        </w:rPr>
        <w:t>公章）：</w:t>
      </w:r>
    </w:p>
    <w:p w14:paraId="735E801B">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法定代表人或授权委托人签字：</w:t>
      </w:r>
    </w:p>
    <w:p w14:paraId="72DA3A9C">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日期：</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年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月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日</w:t>
      </w:r>
    </w:p>
    <w:p w14:paraId="595F7803">
      <w:pPr>
        <w:spacing w:line="360" w:lineRule="auto"/>
        <w:rPr>
          <w:rFonts w:ascii="宋体" w:hAnsi="宋体"/>
          <w:b/>
          <w:sz w:val="28"/>
          <w:highlight w:val="none"/>
        </w:rPr>
      </w:pPr>
      <w:r>
        <w:rPr>
          <w:rFonts w:hint="eastAsia" w:ascii="宋体" w:hAnsi="宋体"/>
          <w:b/>
          <w:sz w:val="28"/>
          <w:highlight w:val="none"/>
        </w:rPr>
        <w:br w:type="page"/>
      </w:r>
      <w:r>
        <w:rPr>
          <w:rFonts w:hint="eastAsia" w:ascii="宋体" w:hAnsi="宋体"/>
          <w:b/>
          <w:sz w:val="28"/>
          <w:highlight w:val="none"/>
        </w:rPr>
        <w:t>附件4</w:t>
      </w:r>
    </w:p>
    <w:p w14:paraId="1418D52E">
      <w:pPr>
        <w:spacing w:line="360" w:lineRule="auto"/>
        <w:jc w:val="center"/>
        <w:rPr>
          <w:rFonts w:ascii="宋体" w:hAnsi="宋体"/>
          <w:b/>
          <w:kern w:val="0"/>
          <w:sz w:val="32"/>
          <w:szCs w:val="32"/>
          <w:highlight w:val="none"/>
        </w:rPr>
      </w:pPr>
      <w:r>
        <w:rPr>
          <w:rFonts w:ascii="宋体" w:hAnsi="宋体"/>
          <w:b/>
          <w:kern w:val="0"/>
          <w:sz w:val="32"/>
          <w:szCs w:val="32"/>
          <w:highlight w:val="none"/>
        </w:rPr>
        <w:t>具有良好的商业信誉和健全的财务会计制度的承诺函</w:t>
      </w:r>
    </w:p>
    <w:p w14:paraId="7EC60873">
      <w:pPr>
        <w:spacing w:line="360" w:lineRule="auto"/>
        <w:jc w:val="center"/>
        <w:rPr>
          <w:rFonts w:ascii="宋体" w:hAnsi="宋体"/>
          <w:b/>
          <w:kern w:val="0"/>
          <w:sz w:val="32"/>
          <w:szCs w:val="32"/>
          <w:highlight w:val="none"/>
        </w:rPr>
      </w:pPr>
    </w:p>
    <w:p w14:paraId="269390C1">
      <w:pPr>
        <w:widowControl/>
        <w:shd w:val="clear" w:color="auto" w:fill="FFFFFF"/>
        <w:spacing w:before="100" w:beforeAutospacing="1" w:after="100" w:afterAutospacing="1" w:line="360" w:lineRule="auto"/>
        <w:jc w:val="left"/>
        <w:rPr>
          <w:rFonts w:ascii="宋体" w:hAnsi="宋体"/>
          <w:kern w:val="0"/>
          <w:sz w:val="24"/>
          <w:highlight w:val="none"/>
        </w:rPr>
      </w:pPr>
      <w:r>
        <w:rPr>
          <w:rFonts w:hint="eastAsia" w:ascii="宋体" w:hAnsi="宋体"/>
          <w:kern w:val="0"/>
          <w:sz w:val="24"/>
          <w:highlight w:val="none"/>
          <w:u w:val="single"/>
        </w:rPr>
        <w:t>浙江金豹运业有限公司</w:t>
      </w:r>
      <w:r>
        <w:rPr>
          <w:rFonts w:ascii="宋体" w:hAnsi="宋体"/>
          <w:kern w:val="0"/>
          <w:sz w:val="24"/>
          <w:highlight w:val="none"/>
        </w:rPr>
        <w:t>：</w:t>
      </w:r>
    </w:p>
    <w:p w14:paraId="0F39FA2E">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我单位具有良好的商业信誉和健全的财务会计制度。如本声明失实，我单位自愿承担被取消成交资格等责任。</w:t>
      </w:r>
    </w:p>
    <w:p w14:paraId="2E1125A8">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1E9583EC">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投标人名称（</w:t>
      </w:r>
      <w:r>
        <w:rPr>
          <w:rFonts w:hint="eastAsia" w:ascii="宋体"/>
          <w:sz w:val="24"/>
          <w:highlight w:val="none"/>
        </w:rPr>
        <w:t>电子</w:t>
      </w:r>
      <w:r>
        <w:rPr>
          <w:rFonts w:hint="eastAsia" w:ascii="宋体" w:hAnsi="宋体" w:cs="FangSong_GB2312"/>
          <w:kern w:val="0"/>
          <w:sz w:val="24"/>
          <w:highlight w:val="none"/>
          <w:lang w:val="zh-CN"/>
        </w:rPr>
        <w:t>公章）：</w:t>
      </w:r>
    </w:p>
    <w:p w14:paraId="23005384">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法定代表人或授权委托人签字：</w:t>
      </w:r>
    </w:p>
    <w:p w14:paraId="18419DB3">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日期：</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年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月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日</w:t>
      </w:r>
    </w:p>
    <w:p w14:paraId="10247F9F">
      <w:pPr>
        <w:spacing w:line="360" w:lineRule="auto"/>
        <w:jc w:val="center"/>
        <w:rPr>
          <w:rFonts w:ascii="宋体" w:hAnsi="宋体"/>
          <w:b/>
          <w:kern w:val="0"/>
          <w:sz w:val="32"/>
          <w:szCs w:val="32"/>
          <w:highlight w:val="none"/>
        </w:rPr>
      </w:pPr>
    </w:p>
    <w:p w14:paraId="4A4A4EC1">
      <w:pPr>
        <w:spacing w:line="360" w:lineRule="auto"/>
        <w:jc w:val="center"/>
        <w:rPr>
          <w:rFonts w:ascii="宋体" w:hAnsi="宋体"/>
          <w:b/>
          <w:kern w:val="0"/>
          <w:sz w:val="32"/>
          <w:szCs w:val="32"/>
          <w:highlight w:val="none"/>
        </w:rPr>
      </w:pPr>
    </w:p>
    <w:p w14:paraId="1006E095">
      <w:pPr>
        <w:spacing w:line="360" w:lineRule="auto"/>
        <w:rPr>
          <w:rFonts w:ascii="宋体" w:hAnsi="宋体"/>
          <w:b/>
          <w:kern w:val="0"/>
          <w:sz w:val="32"/>
          <w:szCs w:val="32"/>
          <w:highlight w:val="none"/>
        </w:rPr>
      </w:pPr>
      <w:r>
        <w:rPr>
          <w:rFonts w:ascii="宋体" w:hAnsi="宋体"/>
          <w:b/>
          <w:kern w:val="0"/>
          <w:sz w:val="32"/>
          <w:szCs w:val="32"/>
          <w:highlight w:val="none"/>
        </w:rPr>
        <w:br w:type="page"/>
      </w:r>
    </w:p>
    <w:p w14:paraId="76CC3317">
      <w:pPr>
        <w:spacing w:line="360" w:lineRule="auto"/>
        <w:jc w:val="left"/>
        <w:rPr>
          <w:rFonts w:ascii="宋体" w:hAnsi="宋体"/>
          <w:b/>
          <w:kern w:val="0"/>
          <w:sz w:val="32"/>
          <w:szCs w:val="32"/>
          <w:highlight w:val="none"/>
        </w:rPr>
      </w:pPr>
      <w:r>
        <w:rPr>
          <w:rFonts w:hint="eastAsia" w:ascii="宋体" w:hAnsi="宋体"/>
          <w:b/>
          <w:kern w:val="0"/>
          <w:sz w:val="32"/>
          <w:szCs w:val="32"/>
          <w:highlight w:val="none"/>
        </w:rPr>
        <w:t>附件5</w:t>
      </w:r>
    </w:p>
    <w:p w14:paraId="03100285">
      <w:pPr>
        <w:spacing w:line="360" w:lineRule="auto"/>
        <w:jc w:val="center"/>
        <w:rPr>
          <w:rFonts w:ascii="宋体" w:hAnsi="宋体"/>
          <w:b/>
          <w:sz w:val="28"/>
          <w:highlight w:val="none"/>
        </w:rPr>
      </w:pPr>
      <w:r>
        <w:rPr>
          <w:rFonts w:ascii="宋体" w:hAnsi="宋体"/>
          <w:b/>
          <w:kern w:val="0"/>
          <w:sz w:val="32"/>
          <w:szCs w:val="32"/>
          <w:highlight w:val="none"/>
        </w:rPr>
        <w:t>具有履行合同所必须的设备和专业技术能力的承诺函</w:t>
      </w:r>
    </w:p>
    <w:p w14:paraId="0F731A3B">
      <w:pPr>
        <w:spacing w:line="360" w:lineRule="auto"/>
        <w:jc w:val="center"/>
        <w:rPr>
          <w:rFonts w:ascii="宋体" w:hAnsi="宋体"/>
          <w:b/>
          <w:sz w:val="28"/>
          <w:highlight w:val="none"/>
        </w:rPr>
      </w:pPr>
    </w:p>
    <w:p w14:paraId="5C868E01">
      <w:pPr>
        <w:widowControl/>
        <w:shd w:val="clear" w:color="auto" w:fill="FFFFFF"/>
        <w:snapToGrid w:val="0"/>
        <w:spacing w:after="50" w:line="360" w:lineRule="auto"/>
        <w:jc w:val="left"/>
        <w:rPr>
          <w:rFonts w:ascii="宋体" w:hAnsi="宋体"/>
          <w:kern w:val="0"/>
          <w:sz w:val="24"/>
          <w:highlight w:val="none"/>
        </w:rPr>
      </w:pPr>
      <w:r>
        <w:rPr>
          <w:rFonts w:hint="eastAsia" w:ascii="宋体" w:hAnsi="宋体"/>
          <w:kern w:val="0"/>
          <w:sz w:val="24"/>
          <w:highlight w:val="none"/>
          <w:u w:val="single"/>
        </w:rPr>
        <w:t>浙江金豹运业有限公司</w:t>
      </w:r>
      <w:r>
        <w:rPr>
          <w:rFonts w:ascii="宋体" w:hAnsi="宋体"/>
          <w:kern w:val="0"/>
          <w:sz w:val="24"/>
          <w:highlight w:val="none"/>
        </w:rPr>
        <w:t>：</w:t>
      </w:r>
    </w:p>
    <w:p w14:paraId="04031E4E">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若我单位有幸成为</w:t>
      </w:r>
      <w:r>
        <w:rPr>
          <w:rFonts w:hint="eastAsia" w:ascii="宋体" w:hAnsi="宋体"/>
          <w:sz w:val="24"/>
          <w:highlight w:val="none"/>
          <w:u w:val="single"/>
        </w:rPr>
        <w:t>浙江金豹运业有限公司车辆保险采购</w:t>
      </w:r>
      <w:r>
        <w:rPr>
          <w:rFonts w:hint="eastAsia" w:hAnsi="宋体"/>
          <w:sz w:val="24"/>
          <w:highlight w:val="none"/>
        </w:rPr>
        <w:t>（</w:t>
      </w:r>
      <w:r>
        <w:rPr>
          <w:rFonts w:hint="eastAsia" w:ascii="宋体" w:hAnsi="宋体" w:cs="宋体"/>
          <w:kern w:val="0"/>
          <w:sz w:val="24"/>
          <w:highlight w:val="none"/>
        </w:rPr>
        <w:t>编号为</w:t>
      </w:r>
      <w:r>
        <w:rPr>
          <w:rFonts w:hint="eastAsia" w:ascii="宋体" w:hAnsi="宋体" w:cs="宋体"/>
          <w:sz w:val="24"/>
          <w:highlight w:val="none"/>
          <w:u w:val="single"/>
        </w:rPr>
        <w:t>TZCCC-【2025】-1013号</w:t>
      </w:r>
      <w:r>
        <w:rPr>
          <w:rFonts w:hint="eastAsia" w:hAnsi="宋体" w:cs="宋体"/>
          <w:kern w:val="0"/>
          <w:sz w:val="24"/>
          <w:highlight w:val="none"/>
        </w:rPr>
        <w:t>）</w:t>
      </w:r>
      <w:r>
        <w:rPr>
          <w:rFonts w:ascii="宋体" w:hAnsi="宋体"/>
          <w:kern w:val="0"/>
          <w:sz w:val="24"/>
          <w:highlight w:val="none"/>
        </w:rPr>
        <w:t>的成交单位，我单位有履行该项目合同的设备和专业技术能力，胜任本项目的服务工作。如本声明失实，我单位自愿承担被取消成交资格等责任。</w:t>
      </w:r>
    </w:p>
    <w:p w14:paraId="5F6F4DC7">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p>
    <w:p w14:paraId="6F3840FF">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0565F246">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投标人名称（</w:t>
      </w:r>
      <w:r>
        <w:rPr>
          <w:rFonts w:hint="eastAsia" w:ascii="宋体"/>
          <w:sz w:val="24"/>
          <w:highlight w:val="none"/>
        </w:rPr>
        <w:t>电子</w:t>
      </w:r>
      <w:r>
        <w:rPr>
          <w:rFonts w:hint="eastAsia" w:ascii="宋体" w:hAnsi="宋体" w:cs="FangSong_GB2312"/>
          <w:kern w:val="0"/>
          <w:sz w:val="24"/>
          <w:highlight w:val="none"/>
          <w:lang w:val="zh-CN"/>
        </w:rPr>
        <w:t>公章）：</w:t>
      </w:r>
    </w:p>
    <w:p w14:paraId="759EE10F">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法定代表人或授权委托人签字：</w:t>
      </w:r>
    </w:p>
    <w:p w14:paraId="41585C23">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日期：</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年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月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日</w:t>
      </w:r>
    </w:p>
    <w:p w14:paraId="2EA2F6B4">
      <w:pPr>
        <w:spacing w:line="360" w:lineRule="auto"/>
        <w:jc w:val="center"/>
        <w:rPr>
          <w:sz w:val="52"/>
          <w:szCs w:val="52"/>
          <w:highlight w:val="none"/>
        </w:rPr>
      </w:pPr>
    </w:p>
    <w:p w14:paraId="22AB09D4">
      <w:pPr>
        <w:spacing w:line="360" w:lineRule="auto"/>
        <w:jc w:val="center"/>
        <w:rPr>
          <w:sz w:val="52"/>
          <w:szCs w:val="52"/>
          <w:highlight w:val="none"/>
        </w:rPr>
      </w:pPr>
    </w:p>
    <w:p w14:paraId="5D0D81AC">
      <w:pPr>
        <w:spacing w:line="360" w:lineRule="auto"/>
        <w:jc w:val="center"/>
        <w:rPr>
          <w:sz w:val="52"/>
          <w:szCs w:val="52"/>
          <w:highlight w:val="none"/>
        </w:rPr>
      </w:pPr>
    </w:p>
    <w:p w14:paraId="32E26D48">
      <w:pPr>
        <w:spacing w:line="360" w:lineRule="auto"/>
        <w:rPr>
          <w:sz w:val="52"/>
          <w:szCs w:val="52"/>
          <w:highlight w:val="none"/>
        </w:rPr>
      </w:pPr>
    </w:p>
    <w:p w14:paraId="612474F6">
      <w:pPr>
        <w:pStyle w:val="2"/>
        <w:numPr>
          <w:ilvl w:val="0"/>
          <w:numId w:val="0"/>
        </w:numPr>
        <w:spacing w:line="360" w:lineRule="auto"/>
        <w:jc w:val="both"/>
        <w:rPr>
          <w:highlight w:val="none"/>
        </w:rPr>
      </w:pPr>
    </w:p>
    <w:p w14:paraId="117A2EAC">
      <w:pPr>
        <w:spacing w:line="360" w:lineRule="auto"/>
        <w:jc w:val="center"/>
        <w:rPr>
          <w:sz w:val="52"/>
          <w:szCs w:val="52"/>
          <w:highlight w:val="none"/>
        </w:rPr>
      </w:pPr>
    </w:p>
    <w:p w14:paraId="29A1ACAF">
      <w:pPr>
        <w:spacing w:line="360" w:lineRule="auto"/>
        <w:rPr>
          <w:highlight w:val="none"/>
        </w:rPr>
      </w:pPr>
    </w:p>
    <w:bookmarkEnd w:id="58"/>
    <w:bookmarkEnd w:id="59"/>
    <w:bookmarkEnd w:id="60"/>
    <w:p w14:paraId="7E1A80E8">
      <w:pPr>
        <w:spacing w:line="360" w:lineRule="auto"/>
        <w:jc w:val="center"/>
        <w:rPr>
          <w:highlight w:val="none"/>
        </w:rPr>
      </w:pPr>
    </w:p>
    <w:p w14:paraId="422BF767">
      <w:pPr>
        <w:rPr>
          <w:rFonts w:ascii="宋体" w:hAnsi="宋体"/>
          <w:sz w:val="52"/>
          <w:szCs w:val="52"/>
          <w:highlight w:val="none"/>
        </w:rPr>
      </w:pPr>
      <w:r>
        <w:rPr>
          <w:rFonts w:hint="eastAsia" w:ascii="宋体" w:hAnsi="宋体"/>
          <w:sz w:val="52"/>
          <w:szCs w:val="52"/>
          <w:highlight w:val="none"/>
        </w:rPr>
        <w:br w:type="page"/>
      </w:r>
    </w:p>
    <w:p w14:paraId="12680D72">
      <w:pPr>
        <w:spacing w:beforeLines="100" w:line="360" w:lineRule="auto"/>
        <w:ind w:right="-108"/>
        <w:jc w:val="center"/>
        <w:rPr>
          <w:rFonts w:ascii="宋体" w:hAnsi="宋体"/>
          <w:sz w:val="52"/>
          <w:szCs w:val="52"/>
          <w:highlight w:val="none"/>
        </w:rPr>
      </w:pPr>
      <w:r>
        <w:rPr>
          <w:rFonts w:hint="eastAsia" w:ascii="宋体" w:hAnsi="宋体"/>
          <w:sz w:val="52"/>
          <w:szCs w:val="52"/>
          <w:highlight w:val="none"/>
        </w:rPr>
        <w:t>项目名称</w:t>
      </w:r>
    </w:p>
    <w:p w14:paraId="12C32346">
      <w:pPr>
        <w:spacing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  ）</w:t>
      </w:r>
    </w:p>
    <w:p w14:paraId="501EAD12">
      <w:pPr>
        <w:autoSpaceDE w:val="0"/>
        <w:autoSpaceDN w:val="0"/>
        <w:adjustRightInd w:val="0"/>
        <w:spacing w:line="360" w:lineRule="auto"/>
        <w:jc w:val="center"/>
        <w:rPr>
          <w:rFonts w:ascii="宋体" w:hAnsi="宋体" w:cs="宋体"/>
          <w:sz w:val="24"/>
          <w:highlight w:val="none"/>
          <w:lang w:val="zh-CN"/>
        </w:rPr>
      </w:pPr>
    </w:p>
    <w:p w14:paraId="7034FA21">
      <w:pPr>
        <w:spacing w:line="360" w:lineRule="auto"/>
        <w:jc w:val="center"/>
        <w:rPr>
          <w:sz w:val="84"/>
          <w:szCs w:val="84"/>
          <w:highlight w:val="none"/>
          <w:lang w:val="zh-CN"/>
        </w:rPr>
      </w:pPr>
      <w:r>
        <w:rPr>
          <w:rFonts w:hint="eastAsia"/>
          <w:sz w:val="84"/>
          <w:szCs w:val="84"/>
          <w:highlight w:val="none"/>
          <w:lang w:val="zh-CN"/>
        </w:rPr>
        <w:t>投</w:t>
      </w:r>
    </w:p>
    <w:p w14:paraId="3838C518">
      <w:pPr>
        <w:spacing w:line="360" w:lineRule="auto"/>
        <w:jc w:val="center"/>
        <w:rPr>
          <w:sz w:val="84"/>
          <w:szCs w:val="84"/>
          <w:highlight w:val="none"/>
          <w:lang w:val="zh-CN"/>
        </w:rPr>
      </w:pPr>
      <w:r>
        <w:rPr>
          <w:rFonts w:hint="eastAsia"/>
          <w:sz w:val="84"/>
          <w:szCs w:val="84"/>
          <w:highlight w:val="none"/>
          <w:lang w:val="zh-CN"/>
        </w:rPr>
        <w:t>标</w:t>
      </w:r>
    </w:p>
    <w:p w14:paraId="7A33D3F4">
      <w:pPr>
        <w:spacing w:line="360" w:lineRule="auto"/>
        <w:jc w:val="center"/>
        <w:rPr>
          <w:sz w:val="84"/>
          <w:szCs w:val="84"/>
          <w:highlight w:val="none"/>
        </w:rPr>
      </w:pPr>
      <w:r>
        <w:rPr>
          <w:rFonts w:hint="eastAsia"/>
          <w:sz w:val="84"/>
          <w:szCs w:val="84"/>
          <w:highlight w:val="none"/>
          <w:lang w:val="zh-CN"/>
        </w:rPr>
        <w:t>文</w:t>
      </w:r>
    </w:p>
    <w:p w14:paraId="4DB9484D">
      <w:pPr>
        <w:spacing w:line="360" w:lineRule="auto"/>
        <w:jc w:val="center"/>
        <w:rPr>
          <w:sz w:val="84"/>
          <w:szCs w:val="84"/>
          <w:highlight w:val="none"/>
          <w:lang w:val="zh-CN"/>
        </w:rPr>
      </w:pPr>
      <w:r>
        <w:rPr>
          <w:rFonts w:hint="eastAsia"/>
          <w:sz w:val="84"/>
          <w:szCs w:val="84"/>
          <w:highlight w:val="none"/>
          <w:lang w:val="zh-CN"/>
        </w:rPr>
        <w:t>件</w:t>
      </w:r>
    </w:p>
    <w:p w14:paraId="3F849D6D">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Cs/>
          <w:sz w:val="24"/>
          <w:highlight w:val="none"/>
          <w:lang w:val="zh-CN"/>
        </w:rPr>
        <w:t>商务与技术文件</w:t>
      </w:r>
      <w:r>
        <w:rPr>
          <w:rFonts w:hint="eastAsia" w:ascii="宋体" w:hAnsi="宋体"/>
          <w:b/>
          <w:sz w:val="28"/>
          <w:szCs w:val="28"/>
          <w:highlight w:val="none"/>
        </w:rPr>
        <w:t>）</w:t>
      </w:r>
    </w:p>
    <w:p w14:paraId="66AED453">
      <w:pPr>
        <w:pStyle w:val="23"/>
        <w:spacing w:line="360" w:lineRule="auto"/>
        <w:rPr>
          <w:highlight w:val="none"/>
        </w:rPr>
      </w:pPr>
    </w:p>
    <w:p w14:paraId="346C8320">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投标人全称（公章）：</w:t>
      </w:r>
    </w:p>
    <w:p w14:paraId="3AA51017">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地    址：</w:t>
      </w:r>
    </w:p>
    <w:p w14:paraId="37A52060">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时    间：</w:t>
      </w:r>
    </w:p>
    <w:p w14:paraId="692CE3B0">
      <w:pPr>
        <w:snapToGrid w:val="0"/>
        <w:spacing w:before="50" w:after="50" w:line="360" w:lineRule="auto"/>
        <w:rPr>
          <w:rFonts w:ascii="FangSong_GB2312" w:hAnsi="宋体" w:eastAsia="FangSong_GB2312"/>
          <w:b/>
          <w:sz w:val="36"/>
          <w:szCs w:val="36"/>
          <w:highlight w:val="none"/>
        </w:rPr>
      </w:pPr>
    </w:p>
    <w:p w14:paraId="1CF8ADB0">
      <w:pPr>
        <w:spacing w:line="360" w:lineRule="auto"/>
        <w:jc w:val="center"/>
        <w:rPr>
          <w:b/>
          <w:bCs/>
          <w:sz w:val="36"/>
          <w:szCs w:val="36"/>
          <w:highlight w:val="none"/>
          <w:lang w:val="zh-CN"/>
        </w:rPr>
      </w:pPr>
      <w:bookmarkStart w:id="61" w:name="_Toc5889_WPSOffice_Level1"/>
      <w:bookmarkStart w:id="62" w:name="_Toc11308_WPSOffice_Level1"/>
    </w:p>
    <w:p w14:paraId="638148A7">
      <w:pPr>
        <w:rPr>
          <w:b/>
          <w:bCs/>
          <w:sz w:val="36"/>
          <w:szCs w:val="36"/>
          <w:highlight w:val="none"/>
          <w:lang w:val="zh-CN"/>
        </w:rPr>
      </w:pPr>
      <w:r>
        <w:rPr>
          <w:rFonts w:hint="eastAsia"/>
          <w:b/>
          <w:bCs/>
          <w:sz w:val="36"/>
          <w:szCs w:val="36"/>
          <w:highlight w:val="none"/>
          <w:lang w:val="zh-CN"/>
        </w:rPr>
        <w:br w:type="page"/>
      </w:r>
    </w:p>
    <w:p w14:paraId="72ED3BB3">
      <w:pPr>
        <w:spacing w:line="360" w:lineRule="auto"/>
        <w:jc w:val="center"/>
        <w:rPr>
          <w:b/>
          <w:bCs/>
          <w:sz w:val="36"/>
          <w:szCs w:val="36"/>
          <w:highlight w:val="none"/>
        </w:rPr>
      </w:pPr>
      <w:r>
        <w:rPr>
          <w:rFonts w:hint="eastAsia"/>
          <w:b/>
          <w:bCs/>
          <w:sz w:val="36"/>
          <w:szCs w:val="36"/>
          <w:highlight w:val="none"/>
          <w:lang w:val="zh-CN"/>
        </w:rPr>
        <w:t>商务与技术文件</w:t>
      </w:r>
      <w:r>
        <w:rPr>
          <w:rFonts w:hint="eastAsia"/>
          <w:b/>
          <w:bCs/>
          <w:sz w:val="36"/>
          <w:szCs w:val="36"/>
          <w:highlight w:val="none"/>
        </w:rPr>
        <w:t>目录</w:t>
      </w:r>
      <w:bookmarkEnd w:id="61"/>
      <w:bookmarkEnd w:id="62"/>
    </w:p>
    <w:p w14:paraId="5F444302">
      <w:pPr>
        <w:spacing w:line="360" w:lineRule="auto"/>
        <w:rPr>
          <w:sz w:val="24"/>
          <w:highlight w:val="none"/>
        </w:rPr>
      </w:pPr>
    </w:p>
    <w:p w14:paraId="3DA90AA1">
      <w:pPr>
        <w:snapToGrid w:val="0"/>
        <w:spacing w:line="360" w:lineRule="auto"/>
        <w:ind w:firstLine="480" w:firstLineChars="200"/>
        <w:rPr>
          <w:rFonts w:ascii="宋体" w:hAnsi="宋体"/>
          <w:bCs/>
          <w:sz w:val="24"/>
          <w:highlight w:val="none"/>
        </w:rPr>
      </w:pPr>
      <w:r>
        <w:rPr>
          <w:rFonts w:hint="eastAsia" w:ascii="宋体" w:hAnsi="宋体"/>
          <w:bCs/>
          <w:sz w:val="24"/>
          <w:highlight w:val="none"/>
        </w:rPr>
        <w:t>（1）项目负责人资格情况表（格式详见附件）；</w:t>
      </w:r>
    </w:p>
    <w:p w14:paraId="119417C9">
      <w:pPr>
        <w:snapToGrid w:val="0"/>
        <w:spacing w:line="360" w:lineRule="auto"/>
        <w:ind w:firstLine="480" w:firstLineChars="200"/>
        <w:rPr>
          <w:rFonts w:ascii="宋体" w:hAnsi="宋体"/>
          <w:bCs/>
          <w:sz w:val="24"/>
          <w:highlight w:val="none"/>
        </w:rPr>
      </w:pPr>
      <w:r>
        <w:rPr>
          <w:rFonts w:hint="eastAsia" w:ascii="宋体" w:hAnsi="宋体"/>
          <w:bCs/>
          <w:sz w:val="24"/>
          <w:highlight w:val="none"/>
        </w:rPr>
        <w:t>（2）项目实施人员一览表（格式详见附件）；</w:t>
      </w:r>
    </w:p>
    <w:p w14:paraId="370046AD">
      <w:pPr>
        <w:snapToGrid w:val="0"/>
        <w:spacing w:line="360" w:lineRule="auto"/>
        <w:ind w:firstLine="480" w:firstLineChars="200"/>
        <w:rPr>
          <w:rFonts w:ascii="宋体" w:hAnsi="宋体"/>
          <w:bCs/>
          <w:sz w:val="24"/>
          <w:highlight w:val="none"/>
        </w:rPr>
      </w:pPr>
      <w:r>
        <w:rPr>
          <w:rFonts w:hint="eastAsia" w:ascii="宋体" w:hAnsi="宋体"/>
          <w:bCs/>
          <w:sz w:val="24"/>
          <w:highlight w:val="none"/>
        </w:rPr>
        <w:t>（3）服务与商务需求响应表</w:t>
      </w:r>
      <w:r>
        <w:rPr>
          <w:rFonts w:hint="eastAsia" w:ascii="Calibri" w:hAnsi="Calibri" w:cs="Calibri"/>
          <w:sz w:val="24"/>
          <w:highlight w:val="none"/>
        </w:rPr>
        <w:t>（</w:t>
      </w:r>
      <w:r>
        <w:rPr>
          <w:rFonts w:hint="eastAsia" w:ascii="宋体" w:hAnsi="宋体"/>
          <w:bCs/>
          <w:sz w:val="24"/>
          <w:highlight w:val="none"/>
        </w:rPr>
        <w:t>格式详见附件</w:t>
      </w:r>
      <w:r>
        <w:rPr>
          <w:rFonts w:hint="eastAsia" w:ascii="Calibri" w:hAnsi="Calibri" w:cs="Calibri"/>
          <w:sz w:val="24"/>
          <w:highlight w:val="none"/>
        </w:rPr>
        <w:t>）；</w:t>
      </w:r>
    </w:p>
    <w:p w14:paraId="7DE50F32">
      <w:pPr>
        <w:snapToGrid w:val="0"/>
        <w:spacing w:line="360" w:lineRule="auto"/>
        <w:ind w:firstLine="480" w:firstLineChars="200"/>
        <w:rPr>
          <w:rFonts w:ascii="Calibri" w:hAnsi="Calibri" w:cs="Calibri"/>
          <w:sz w:val="24"/>
          <w:highlight w:val="none"/>
        </w:rPr>
      </w:pPr>
      <w:r>
        <w:rPr>
          <w:rFonts w:hint="eastAsia" w:ascii="宋体" w:hAnsi="宋体"/>
          <w:bCs/>
          <w:sz w:val="24"/>
          <w:highlight w:val="none"/>
        </w:rPr>
        <w:t>（4）同类业绩证明（格式详见附件）；</w:t>
      </w:r>
    </w:p>
    <w:p w14:paraId="4119AA00">
      <w:pPr>
        <w:snapToGrid w:val="0"/>
        <w:spacing w:line="360" w:lineRule="auto"/>
        <w:ind w:firstLine="480" w:firstLineChars="200"/>
        <w:rPr>
          <w:rFonts w:ascii="宋体" w:hAnsi="宋体"/>
          <w:bCs/>
          <w:sz w:val="24"/>
          <w:highlight w:val="none"/>
        </w:rPr>
      </w:pPr>
      <w:r>
        <w:rPr>
          <w:rFonts w:hint="eastAsia" w:ascii="宋体" w:hAnsi="宋体"/>
          <w:bCs/>
          <w:sz w:val="24"/>
          <w:highlight w:val="none"/>
        </w:rPr>
        <w:t>（5）符合招标文件规定的其他证明文件及评分标准中涉及的其他材料（投标人根据评标办法自行编制）。</w:t>
      </w:r>
    </w:p>
    <w:p w14:paraId="333FA25A">
      <w:pPr>
        <w:pStyle w:val="6"/>
        <w:spacing w:line="360" w:lineRule="auto"/>
        <w:ind w:firstLine="0"/>
        <w:rPr>
          <w:rFonts w:ascii="宋体" w:hAnsi="宋体"/>
          <w:bCs/>
          <w:sz w:val="24"/>
          <w:highlight w:val="none"/>
        </w:rPr>
      </w:pPr>
    </w:p>
    <w:p w14:paraId="0BD55389">
      <w:pPr>
        <w:snapToGrid w:val="0"/>
        <w:spacing w:line="360" w:lineRule="auto"/>
        <w:ind w:firstLine="480" w:firstLineChars="200"/>
        <w:rPr>
          <w:rFonts w:ascii="宋体" w:hAnsi="宋体"/>
          <w:bCs/>
          <w:sz w:val="24"/>
          <w:highlight w:val="none"/>
        </w:rPr>
      </w:pPr>
    </w:p>
    <w:p w14:paraId="0C7E4E4E">
      <w:pPr>
        <w:pStyle w:val="6"/>
        <w:spacing w:line="360" w:lineRule="auto"/>
        <w:ind w:firstLine="0"/>
        <w:rPr>
          <w:rFonts w:ascii="宋体" w:hAnsi="宋体"/>
          <w:bCs/>
          <w:sz w:val="24"/>
          <w:highlight w:val="none"/>
        </w:rPr>
      </w:pPr>
    </w:p>
    <w:p w14:paraId="61568F5C">
      <w:pPr>
        <w:pStyle w:val="6"/>
        <w:spacing w:line="360" w:lineRule="auto"/>
        <w:ind w:firstLine="0"/>
        <w:rPr>
          <w:rFonts w:ascii="宋体" w:hAnsi="宋体"/>
          <w:bCs/>
          <w:sz w:val="24"/>
          <w:highlight w:val="none"/>
        </w:rPr>
      </w:pPr>
    </w:p>
    <w:p w14:paraId="21791FA3">
      <w:pPr>
        <w:pStyle w:val="6"/>
        <w:spacing w:line="360" w:lineRule="auto"/>
        <w:ind w:firstLine="0"/>
        <w:rPr>
          <w:rFonts w:ascii="宋体" w:hAnsi="宋体"/>
          <w:bCs/>
          <w:sz w:val="24"/>
          <w:highlight w:val="none"/>
        </w:rPr>
      </w:pPr>
    </w:p>
    <w:p w14:paraId="57E238A7">
      <w:pPr>
        <w:pStyle w:val="6"/>
        <w:spacing w:line="360" w:lineRule="auto"/>
        <w:ind w:firstLine="0"/>
        <w:rPr>
          <w:rFonts w:ascii="宋体" w:hAnsi="宋体"/>
          <w:bCs/>
          <w:sz w:val="24"/>
          <w:highlight w:val="none"/>
        </w:rPr>
      </w:pPr>
    </w:p>
    <w:p w14:paraId="7452D643">
      <w:pPr>
        <w:pStyle w:val="6"/>
        <w:spacing w:line="360" w:lineRule="auto"/>
        <w:ind w:firstLine="0"/>
        <w:rPr>
          <w:rFonts w:ascii="宋体" w:hAnsi="宋体"/>
          <w:bCs/>
          <w:sz w:val="24"/>
          <w:highlight w:val="none"/>
        </w:rPr>
      </w:pPr>
    </w:p>
    <w:p w14:paraId="4F2138EF">
      <w:pPr>
        <w:pStyle w:val="6"/>
        <w:spacing w:line="360" w:lineRule="auto"/>
        <w:ind w:firstLine="0"/>
        <w:rPr>
          <w:rFonts w:ascii="宋体" w:hAnsi="宋体"/>
          <w:bCs/>
          <w:sz w:val="24"/>
          <w:highlight w:val="none"/>
        </w:rPr>
      </w:pPr>
    </w:p>
    <w:p w14:paraId="7A56EC78">
      <w:pPr>
        <w:pStyle w:val="6"/>
        <w:spacing w:line="360" w:lineRule="auto"/>
        <w:ind w:firstLine="0"/>
        <w:rPr>
          <w:rFonts w:ascii="宋体" w:hAnsi="宋体"/>
          <w:bCs/>
          <w:sz w:val="24"/>
          <w:highlight w:val="none"/>
        </w:rPr>
      </w:pPr>
    </w:p>
    <w:p w14:paraId="48B9352D">
      <w:pPr>
        <w:pStyle w:val="6"/>
        <w:spacing w:line="360" w:lineRule="auto"/>
        <w:ind w:firstLine="0"/>
        <w:rPr>
          <w:rFonts w:ascii="宋体" w:hAnsi="宋体"/>
          <w:bCs/>
          <w:sz w:val="24"/>
          <w:highlight w:val="none"/>
        </w:rPr>
      </w:pPr>
    </w:p>
    <w:p w14:paraId="507479BF">
      <w:pPr>
        <w:pStyle w:val="6"/>
        <w:spacing w:line="360" w:lineRule="auto"/>
        <w:ind w:firstLine="0"/>
        <w:rPr>
          <w:rFonts w:ascii="宋体" w:hAnsi="宋体"/>
          <w:bCs/>
          <w:sz w:val="24"/>
          <w:highlight w:val="none"/>
        </w:rPr>
      </w:pPr>
    </w:p>
    <w:p w14:paraId="2685F33D">
      <w:pPr>
        <w:pStyle w:val="6"/>
        <w:spacing w:line="360" w:lineRule="auto"/>
        <w:ind w:firstLine="0"/>
        <w:rPr>
          <w:rFonts w:ascii="宋体" w:hAnsi="宋体"/>
          <w:bCs/>
          <w:sz w:val="24"/>
          <w:highlight w:val="none"/>
        </w:rPr>
      </w:pPr>
    </w:p>
    <w:p w14:paraId="2E0E68D8">
      <w:pPr>
        <w:pStyle w:val="6"/>
        <w:spacing w:line="360" w:lineRule="auto"/>
        <w:ind w:firstLine="0"/>
        <w:rPr>
          <w:rFonts w:ascii="宋体" w:hAnsi="宋体"/>
          <w:bCs/>
          <w:sz w:val="24"/>
          <w:highlight w:val="none"/>
        </w:rPr>
      </w:pPr>
    </w:p>
    <w:p w14:paraId="13089281">
      <w:pPr>
        <w:pStyle w:val="6"/>
        <w:spacing w:line="360" w:lineRule="auto"/>
        <w:ind w:firstLine="0"/>
        <w:rPr>
          <w:rFonts w:ascii="宋体" w:hAnsi="宋体"/>
          <w:bCs/>
          <w:sz w:val="24"/>
          <w:highlight w:val="none"/>
        </w:rPr>
      </w:pPr>
    </w:p>
    <w:p w14:paraId="1966419B">
      <w:pPr>
        <w:pStyle w:val="6"/>
        <w:spacing w:line="360" w:lineRule="auto"/>
        <w:ind w:firstLine="0"/>
        <w:rPr>
          <w:rFonts w:ascii="宋体" w:hAnsi="宋体"/>
          <w:bCs/>
          <w:sz w:val="24"/>
          <w:highlight w:val="none"/>
        </w:rPr>
      </w:pPr>
    </w:p>
    <w:p w14:paraId="3A0ED04D">
      <w:pPr>
        <w:pStyle w:val="6"/>
        <w:spacing w:line="360" w:lineRule="auto"/>
        <w:ind w:firstLine="0"/>
        <w:rPr>
          <w:rFonts w:ascii="宋体" w:hAnsi="宋体"/>
          <w:bCs/>
          <w:sz w:val="24"/>
          <w:highlight w:val="none"/>
        </w:rPr>
      </w:pPr>
    </w:p>
    <w:p w14:paraId="636EDA67">
      <w:pPr>
        <w:pStyle w:val="6"/>
        <w:spacing w:line="360" w:lineRule="auto"/>
        <w:ind w:firstLine="480" w:firstLineChars="200"/>
        <w:rPr>
          <w:sz w:val="24"/>
          <w:szCs w:val="24"/>
          <w:highlight w:val="none"/>
        </w:rPr>
      </w:pPr>
    </w:p>
    <w:p w14:paraId="7C5E9213">
      <w:pPr>
        <w:pStyle w:val="6"/>
        <w:spacing w:line="360" w:lineRule="auto"/>
        <w:ind w:firstLine="0"/>
        <w:rPr>
          <w:sz w:val="28"/>
          <w:szCs w:val="28"/>
          <w:highlight w:val="none"/>
        </w:rPr>
      </w:pPr>
    </w:p>
    <w:p w14:paraId="059806A3">
      <w:pPr>
        <w:pStyle w:val="6"/>
        <w:spacing w:line="360" w:lineRule="auto"/>
        <w:ind w:firstLine="0"/>
        <w:rPr>
          <w:sz w:val="28"/>
          <w:szCs w:val="28"/>
          <w:highlight w:val="none"/>
        </w:rPr>
      </w:pPr>
    </w:p>
    <w:p w14:paraId="4FEB32D3">
      <w:pPr>
        <w:rPr>
          <w:b/>
          <w:sz w:val="28"/>
          <w:highlight w:val="none"/>
        </w:rPr>
      </w:pPr>
      <w:r>
        <w:rPr>
          <w:rFonts w:hint="eastAsia"/>
          <w:b/>
          <w:sz w:val="28"/>
          <w:highlight w:val="none"/>
        </w:rPr>
        <w:br w:type="page"/>
      </w:r>
    </w:p>
    <w:p w14:paraId="1D5DC0BC">
      <w:pPr>
        <w:spacing w:line="360" w:lineRule="auto"/>
        <w:rPr>
          <w:rFonts w:ascii="宋体" w:hAnsi="宋体"/>
          <w:b/>
          <w:sz w:val="28"/>
          <w:highlight w:val="none"/>
        </w:rPr>
      </w:pPr>
      <w:r>
        <w:rPr>
          <w:rFonts w:hint="eastAsia" w:ascii="宋体" w:hAnsi="宋体"/>
          <w:b/>
          <w:sz w:val="28"/>
          <w:highlight w:val="none"/>
        </w:rPr>
        <w:t>附件</w:t>
      </w:r>
      <w:r>
        <w:rPr>
          <w:rFonts w:ascii="宋体" w:hAnsi="宋体"/>
          <w:b/>
          <w:sz w:val="28"/>
          <w:highlight w:val="none"/>
        </w:rPr>
        <w:t>6</w:t>
      </w:r>
    </w:p>
    <w:p w14:paraId="24131864">
      <w:pPr>
        <w:spacing w:beforeLines="50" w:afterLines="50" w:line="360" w:lineRule="auto"/>
        <w:ind w:right="-10"/>
        <w:jc w:val="center"/>
        <w:rPr>
          <w:rFonts w:ascii="宋体" w:hAnsi="宋体"/>
          <w:b/>
          <w:bCs/>
          <w:sz w:val="32"/>
          <w:szCs w:val="32"/>
          <w:highlight w:val="none"/>
        </w:rPr>
      </w:pPr>
      <w:r>
        <w:rPr>
          <w:rFonts w:hint="eastAsia" w:ascii="宋体" w:hAnsi="宋体"/>
          <w:b/>
          <w:bCs/>
          <w:sz w:val="32"/>
          <w:szCs w:val="32"/>
          <w:highlight w:val="none"/>
        </w:rPr>
        <w:t>项目负责人资格情况表</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2CF3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6FA2AD3">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7EA6ED">
            <w:pPr>
              <w:autoSpaceDE w:val="0"/>
              <w:autoSpaceDN w:val="0"/>
              <w:adjustRightInd w:val="0"/>
              <w:snapToGrid w:val="0"/>
              <w:spacing w:line="360" w:lineRule="auto"/>
              <w:jc w:val="center"/>
              <w:rPr>
                <w:rFonts w:ascii="宋体" w:hAnsi="宋体"/>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F77A64F">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近年来主要工作业绩</w:t>
            </w:r>
          </w:p>
        </w:tc>
      </w:tr>
      <w:tr w14:paraId="4327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F7CC874">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36BED8">
            <w:pPr>
              <w:autoSpaceDE w:val="0"/>
              <w:autoSpaceDN w:val="0"/>
              <w:adjustRightInd w:val="0"/>
              <w:snapToGrid w:val="0"/>
              <w:spacing w:line="360" w:lineRule="auto"/>
              <w:jc w:val="center"/>
              <w:rPr>
                <w:rFonts w:ascii="宋体" w:hAnsi="宋体"/>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7D11DEE">
            <w:pPr>
              <w:autoSpaceDE w:val="0"/>
              <w:autoSpaceDN w:val="0"/>
              <w:adjustRightInd w:val="0"/>
              <w:snapToGrid w:val="0"/>
              <w:spacing w:line="360" w:lineRule="auto"/>
              <w:jc w:val="center"/>
              <w:rPr>
                <w:rFonts w:ascii="宋体" w:hAnsi="宋体"/>
                <w:highlight w:val="none"/>
              </w:rPr>
            </w:pPr>
            <w:r>
              <w:rPr>
                <w:rFonts w:hint="eastAsia" w:ascii="宋体" w:hAnsi="宋体"/>
                <w:highlight w:val="none"/>
              </w:rPr>
              <w:t>注：业绩证明应提供旁证材料</w:t>
            </w:r>
          </w:p>
          <w:p w14:paraId="3CFB0D7D">
            <w:pPr>
              <w:autoSpaceDE w:val="0"/>
              <w:autoSpaceDN w:val="0"/>
              <w:adjustRightInd w:val="0"/>
              <w:snapToGrid w:val="0"/>
              <w:spacing w:line="360" w:lineRule="auto"/>
              <w:jc w:val="center"/>
              <w:rPr>
                <w:rFonts w:ascii="宋体" w:hAnsi="宋体"/>
                <w:highlight w:val="none"/>
                <w:lang w:val="zh-CN"/>
              </w:rPr>
            </w:pPr>
            <w:r>
              <w:rPr>
                <w:rFonts w:hint="eastAsia" w:ascii="宋体" w:hAnsi="宋体"/>
                <w:highlight w:val="none"/>
              </w:rPr>
              <w:t>（供货合同或中标通知书）。</w:t>
            </w:r>
          </w:p>
        </w:tc>
      </w:tr>
      <w:tr w14:paraId="5EE9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F3E6C4A">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69FF56">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3B05491">
            <w:pPr>
              <w:autoSpaceDE w:val="0"/>
              <w:autoSpaceDN w:val="0"/>
              <w:adjustRightInd w:val="0"/>
              <w:snapToGrid w:val="0"/>
              <w:spacing w:line="360" w:lineRule="auto"/>
              <w:jc w:val="center"/>
              <w:rPr>
                <w:rFonts w:ascii="宋体" w:hAnsi="宋体"/>
                <w:highlight w:val="none"/>
                <w:lang w:val="zh-CN"/>
              </w:rPr>
            </w:pPr>
          </w:p>
        </w:tc>
      </w:tr>
      <w:tr w14:paraId="74A6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56E3F8">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3B15C6">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C716967">
            <w:pPr>
              <w:autoSpaceDE w:val="0"/>
              <w:autoSpaceDN w:val="0"/>
              <w:adjustRightInd w:val="0"/>
              <w:snapToGrid w:val="0"/>
              <w:spacing w:line="360" w:lineRule="auto"/>
              <w:jc w:val="center"/>
              <w:rPr>
                <w:rFonts w:ascii="宋体" w:hAnsi="宋体"/>
                <w:highlight w:val="none"/>
                <w:lang w:val="zh-CN"/>
              </w:rPr>
            </w:pPr>
          </w:p>
        </w:tc>
      </w:tr>
      <w:tr w14:paraId="6B0C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C07FF38">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7A7EFD">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6F89CE0">
            <w:pPr>
              <w:autoSpaceDE w:val="0"/>
              <w:autoSpaceDN w:val="0"/>
              <w:adjustRightInd w:val="0"/>
              <w:snapToGrid w:val="0"/>
              <w:spacing w:line="360" w:lineRule="auto"/>
              <w:jc w:val="center"/>
              <w:rPr>
                <w:rFonts w:ascii="宋体" w:hAnsi="宋体"/>
                <w:highlight w:val="none"/>
                <w:lang w:val="zh-CN"/>
              </w:rPr>
            </w:pPr>
          </w:p>
        </w:tc>
      </w:tr>
      <w:tr w14:paraId="3E2D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67C82DA">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DF7DA5">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BC2E163">
            <w:pPr>
              <w:autoSpaceDE w:val="0"/>
              <w:autoSpaceDN w:val="0"/>
              <w:adjustRightInd w:val="0"/>
              <w:snapToGrid w:val="0"/>
              <w:spacing w:line="360" w:lineRule="auto"/>
              <w:jc w:val="center"/>
              <w:rPr>
                <w:rFonts w:ascii="宋体" w:hAnsi="宋体"/>
                <w:highlight w:val="none"/>
                <w:lang w:val="zh-CN"/>
              </w:rPr>
            </w:pPr>
          </w:p>
        </w:tc>
      </w:tr>
      <w:tr w14:paraId="6F20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74996AF">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946AFF">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50B7FE4">
            <w:pPr>
              <w:autoSpaceDE w:val="0"/>
              <w:autoSpaceDN w:val="0"/>
              <w:adjustRightInd w:val="0"/>
              <w:snapToGrid w:val="0"/>
              <w:spacing w:line="360" w:lineRule="auto"/>
              <w:jc w:val="center"/>
              <w:rPr>
                <w:rFonts w:ascii="宋体" w:hAnsi="宋体"/>
                <w:highlight w:val="none"/>
                <w:lang w:val="zh-CN"/>
              </w:rPr>
            </w:pPr>
          </w:p>
        </w:tc>
      </w:tr>
      <w:tr w14:paraId="771D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C406801">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D0EADA">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4AE1489">
            <w:pPr>
              <w:autoSpaceDE w:val="0"/>
              <w:autoSpaceDN w:val="0"/>
              <w:adjustRightInd w:val="0"/>
              <w:snapToGrid w:val="0"/>
              <w:spacing w:line="360" w:lineRule="auto"/>
              <w:jc w:val="center"/>
              <w:rPr>
                <w:rFonts w:ascii="宋体" w:hAnsi="宋体"/>
                <w:highlight w:val="none"/>
                <w:lang w:val="zh-CN"/>
              </w:rPr>
            </w:pPr>
          </w:p>
        </w:tc>
      </w:tr>
      <w:tr w14:paraId="6B50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D68E015">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26E54D3B">
            <w:pPr>
              <w:autoSpaceDE w:val="0"/>
              <w:autoSpaceDN w:val="0"/>
              <w:adjustRightInd w:val="0"/>
              <w:snapToGrid w:val="0"/>
              <w:spacing w:line="360" w:lineRule="auto"/>
              <w:jc w:val="center"/>
              <w:rPr>
                <w:rFonts w:ascii="宋体" w:hAnsi="宋体"/>
                <w:highlight w:val="none"/>
                <w:lang w:val="zh-CN"/>
              </w:rPr>
            </w:pPr>
          </w:p>
        </w:tc>
      </w:tr>
    </w:tbl>
    <w:p w14:paraId="1627EE4F">
      <w:pPr>
        <w:spacing w:line="360" w:lineRule="auto"/>
        <w:ind w:left="420"/>
        <w:rPr>
          <w:rFonts w:ascii="宋体" w:hAnsi="宋体"/>
          <w:sz w:val="24"/>
          <w:highlight w:val="none"/>
        </w:rPr>
      </w:pPr>
    </w:p>
    <w:p w14:paraId="4DF44AED">
      <w:pPr>
        <w:spacing w:line="360" w:lineRule="auto"/>
        <w:ind w:firstLine="480" w:firstLineChars="200"/>
        <w:rPr>
          <w:rFonts w:ascii="宋体" w:hAnsi="宋体"/>
          <w:sz w:val="24"/>
          <w:highlight w:val="none"/>
          <w:u w:val="single"/>
        </w:rPr>
      </w:pPr>
      <w:r>
        <w:rPr>
          <w:rFonts w:hint="eastAsia" w:ascii="宋体" w:hAnsi="宋体"/>
          <w:sz w:val="24"/>
          <w:highlight w:val="none"/>
        </w:rPr>
        <w:t>投标人名称（</w:t>
      </w:r>
      <w:r>
        <w:rPr>
          <w:rFonts w:hint="eastAsia" w:ascii="宋体"/>
          <w:sz w:val="24"/>
          <w:highlight w:val="none"/>
        </w:rPr>
        <w:t>电子</w:t>
      </w:r>
      <w:r>
        <w:rPr>
          <w:rFonts w:hint="eastAsia" w:ascii="宋体" w:hAnsi="宋体"/>
          <w:sz w:val="24"/>
          <w:highlight w:val="none"/>
        </w:rPr>
        <w:t>公章）：</w:t>
      </w:r>
    </w:p>
    <w:p w14:paraId="100EAB69">
      <w:pPr>
        <w:spacing w:line="360" w:lineRule="auto"/>
        <w:ind w:left="420"/>
        <w:rPr>
          <w:rFonts w:ascii="宋体" w:hAnsi="宋体"/>
          <w:sz w:val="24"/>
          <w:highlight w:val="none"/>
        </w:rPr>
      </w:pPr>
    </w:p>
    <w:p w14:paraId="78D709D2">
      <w:pPr>
        <w:spacing w:line="360" w:lineRule="auto"/>
        <w:ind w:firstLine="435"/>
        <w:rPr>
          <w:rFonts w:ascii="宋体" w:hAnsi="宋体"/>
          <w:sz w:val="24"/>
          <w:highlight w:val="none"/>
        </w:rPr>
      </w:pPr>
      <w:r>
        <w:rPr>
          <w:rFonts w:hint="eastAsia" w:ascii="宋体" w:hAnsi="宋体" w:cs="FangSong_GB2312"/>
          <w:kern w:val="0"/>
          <w:sz w:val="24"/>
          <w:highlight w:val="none"/>
          <w:lang w:val="zh-CN"/>
        </w:rPr>
        <w:t>法定代表人或授权委托人签字</w:t>
      </w:r>
      <w:r>
        <w:rPr>
          <w:rFonts w:hint="eastAsia" w:ascii="宋体" w:hAnsi="宋体"/>
          <w:sz w:val="24"/>
          <w:highlight w:val="none"/>
        </w:rPr>
        <w:t>：</w:t>
      </w:r>
    </w:p>
    <w:p w14:paraId="3C091C3B">
      <w:pPr>
        <w:spacing w:line="360" w:lineRule="auto"/>
        <w:ind w:firstLine="435"/>
        <w:rPr>
          <w:rFonts w:ascii="宋体" w:hAnsi="宋体"/>
          <w:sz w:val="24"/>
          <w:highlight w:val="none"/>
        </w:rPr>
      </w:pPr>
    </w:p>
    <w:p w14:paraId="2BD059BC">
      <w:pPr>
        <w:spacing w:line="360" w:lineRule="auto"/>
        <w:ind w:firstLine="435"/>
        <w:rPr>
          <w:rFonts w:ascii="宋体" w:hAnsi="宋体"/>
          <w:sz w:val="24"/>
          <w:highlight w:val="none"/>
        </w:rPr>
      </w:pPr>
      <w:r>
        <w:rPr>
          <w:rFonts w:hint="eastAsia" w:ascii="宋体" w:hAnsi="宋体"/>
          <w:sz w:val="24"/>
          <w:highlight w:val="none"/>
        </w:rPr>
        <w:t>职        务：</w:t>
      </w:r>
    </w:p>
    <w:p w14:paraId="6009B59E">
      <w:pPr>
        <w:spacing w:line="360" w:lineRule="auto"/>
        <w:ind w:firstLine="435"/>
        <w:rPr>
          <w:rFonts w:ascii="宋体" w:hAnsi="宋体"/>
          <w:sz w:val="24"/>
          <w:highlight w:val="none"/>
        </w:rPr>
      </w:pPr>
    </w:p>
    <w:p w14:paraId="106DEDF2">
      <w:pPr>
        <w:spacing w:line="360" w:lineRule="auto"/>
        <w:ind w:firstLine="435"/>
        <w:rPr>
          <w:rFonts w:ascii="宋体" w:hAnsi="宋体"/>
          <w:sz w:val="24"/>
          <w:highlight w:val="none"/>
        </w:rPr>
      </w:pPr>
      <w:r>
        <w:rPr>
          <w:rFonts w:hint="eastAsia" w:ascii="宋体" w:hAnsi="宋体"/>
          <w:sz w:val="24"/>
          <w:highlight w:val="none"/>
        </w:rPr>
        <w:t>日        期：</w:t>
      </w:r>
    </w:p>
    <w:p w14:paraId="50A697E9">
      <w:pPr>
        <w:pStyle w:val="8"/>
        <w:spacing w:line="360" w:lineRule="auto"/>
        <w:rPr>
          <w:highlight w:val="none"/>
        </w:rPr>
      </w:pPr>
    </w:p>
    <w:p w14:paraId="55609F36">
      <w:pPr>
        <w:spacing w:line="360" w:lineRule="auto"/>
        <w:jc w:val="left"/>
        <w:rPr>
          <w:rFonts w:ascii="宋体" w:hAnsi="宋体"/>
          <w:b/>
          <w:bCs/>
          <w:kern w:val="0"/>
          <w:sz w:val="32"/>
          <w:szCs w:val="32"/>
          <w:highlight w:val="none"/>
        </w:rPr>
      </w:pPr>
      <w:bookmarkStart w:id="63" w:name="_Toc26601_WPSOffice_Level1"/>
      <w:bookmarkStart w:id="64" w:name="_Toc12856_WPSOffice_Level1"/>
    </w:p>
    <w:p w14:paraId="7F9DE0B0">
      <w:pPr>
        <w:spacing w:line="360" w:lineRule="auto"/>
        <w:jc w:val="left"/>
        <w:rPr>
          <w:rFonts w:ascii="宋体" w:hAnsi="宋体"/>
          <w:b/>
          <w:bCs/>
          <w:kern w:val="0"/>
          <w:sz w:val="32"/>
          <w:szCs w:val="32"/>
          <w:highlight w:val="none"/>
        </w:rPr>
      </w:pPr>
      <w:r>
        <w:rPr>
          <w:rFonts w:hint="eastAsia" w:ascii="宋体" w:hAnsi="宋体"/>
          <w:b/>
          <w:bCs/>
          <w:kern w:val="0"/>
          <w:sz w:val="32"/>
          <w:szCs w:val="32"/>
          <w:highlight w:val="none"/>
        </w:rPr>
        <w:t>附件</w:t>
      </w:r>
      <w:r>
        <w:rPr>
          <w:rFonts w:ascii="宋体" w:hAnsi="宋体"/>
          <w:b/>
          <w:bCs/>
          <w:kern w:val="0"/>
          <w:sz w:val="32"/>
          <w:szCs w:val="32"/>
          <w:highlight w:val="none"/>
        </w:rPr>
        <w:t>7</w:t>
      </w:r>
    </w:p>
    <w:p w14:paraId="15DBABC2">
      <w:pPr>
        <w:snapToGrid w:val="0"/>
        <w:spacing w:line="360" w:lineRule="auto"/>
        <w:jc w:val="center"/>
        <w:rPr>
          <w:rFonts w:ascii="宋体" w:hAnsi="宋体"/>
          <w:b/>
          <w:sz w:val="32"/>
          <w:szCs w:val="32"/>
          <w:highlight w:val="none"/>
        </w:rPr>
      </w:pPr>
      <w:r>
        <w:rPr>
          <w:rFonts w:hint="eastAsia" w:ascii="宋体" w:hAnsi="宋体"/>
          <w:b/>
          <w:sz w:val="32"/>
          <w:szCs w:val="32"/>
          <w:highlight w:val="none"/>
        </w:rPr>
        <w:t>项目实施人员一览表</w:t>
      </w:r>
    </w:p>
    <w:p w14:paraId="4FF734B0">
      <w:pPr>
        <w:snapToGrid w:val="0"/>
        <w:spacing w:line="360" w:lineRule="auto"/>
        <w:jc w:val="center"/>
        <w:rPr>
          <w:rFonts w:ascii="宋体" w:hAnsi="宋体"/>
          <w:sz w:val="24"/>
          <w:highlight w:val="none"/>
        </w:rPr>
      </w:pPr>
      <w:r>
        <w:rPr>
          <w:rFonts w:hint="eastAsia" w:ascii="宋体" w:hAnsi="宋体"/>
          <w:sz w:val="24"/>
          <w:highlight w:val="none"/>
        </w:rPr>
        <w:t>（主要从业人员及其技术资格）</w:t>
      </w:r>
    </w:p>
    <w:tbl>
      <w:tblPr>
        <w:tblStyle w:val="24"/>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1F14D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5F2F47">
            <w:pPr>
              <w:snapToGrid w:val="0"/>
              <w:spacing w:line="360" w:lineRule="auto"/>
              <w:jc w:val="center"/>
              <w:rPr>
                <w:rFonts w:ascii="宋体" w:hAnsi="宋体"/>
                <w:b/>
                <w:szCs w:val="21"/>
                <w:highlight w:val="none"/>
              </w:rPr>
            </w:pPr>
            <w:r>
              <w:rPr>
                <w:rFonts w:hint="eastAsia" w:ascii="宋体" w:hAnsi="宋体"/>
                <w:b/>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5D578A">
            <w:pPr>
              <w:snapToGrid w:val="0"/>
              <w:spacing w:line="360" w:lineRule="auto"/>
              <w:jc w:val="center"/>
              <w:rPr>
                <w:rFonts w:ascii="宋体" w:hAnsi="宋体"/>
                <w:b/>
                <w:szCs w:val="21"/>
                <w:highlight w:val="none"/>
              </w:rPr>
            </w:pPr>
            <w:r>
              <w:rPr>
                <w:rFonts w:hint="eastAsia" w:ascii="宋体" w:hAnsi="宋体"/>
                <w:b/>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B20595">
            <w:pPr>
              <w:snapToGrid w:val="0"/>
              <w:spacing w:line="360" w:lineRule="auto"/>
              <w:jc w:val="center"/>
              <w:rPr>
                <w:rFonts w:ascii="宋体" w:hAnsi="宋体"/>
                <w:b/>
                <w:szCs w:val="21"/>
                <w:highlight w:val="none"/>
              </w:rPr>
            </w:pPr>
            <w:r>
              <w:rPr>
                <w:rFonts w:hint="eastAsia" w:ascii="宋体" w:hAnsi="宋体"/>
                <w:b/>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0300F1">
            <w:pPr>
              <w:snapToGrid w:val="0"/>
              <w:spacing w:line="360" w:lineRule="auto"/>
              <w:jc w:val="center"/>
              <w:rPr>
                <w:rFonts w:ascii="宋体" w:hAnsi="宋体"/>
                <w:b/>
                <w:szCs w:val="21"/>
                <w:highlight w:val="none"/>
              </w:rPr>
            </w:pPr>
            <w:r>
              <w:rPr>
                <w:rFonts w:hint="eastAsia" w:ascii="宋体" w:hAnsi="宋体"/>
                <w:b/>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D86C42">
            <w:pPr>
              <w:snapToGrid w:val="0"/>
              <w:spacing w:line="360" w:lineRule="auto"/>
              <w:jc w:val="center"/>
              <w:rPr>
                <w:rFonts w:ascii="宋体" w:hAnsi="宋体"/>
                <w:b/>
                <w:szCs w:val="21"/>
                <w:highlight w:val="none"/>
              </w:rPr>
            </w:pPr>
            <w:r>
              <w:rPr>
                <w:rFonts w:hint="eastAsia" w:ascii="宋体" w:hAnsi="宋体"/>
                <w:b/>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A6D57C">
            <w:pPr>
              <w:snapToGrid w:val="0"/>
              <w:spacing w:line="360" w:lineRule="auto"/>
              <w:jc w:val="center"/>
              <w:rPr>
                <w:rFonts w:ascii="宋体" w:hAnsi="宋体"/>
                <w:b/>
                <w:szCs w:val="21"/>
                <w:highlight w:val="none"/>
              </w:rPr>
            </w:pPr>
            <w:r>
              <w:rPr>
                <w:rFonts w:hint="eastAsia" w:ascii="宋体" w:hAnsi="宋体"/>
                <w:b/>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1118C6">
            <w:pPr>
              <w:snapToGrid w:val="0"/>
              <w:spacing w:line="360" w:lineRule="auto"/>
              <w:jc w:val="center"/>
              <w:rPr>
                <w:rFonts w:ascii="宋体" w:hAnsi="宋体"/>
                <w:b/>
                <w:bCs/>
                <w:szCs w:val="21"/>
                <w:highlight w:val="none"/>
              </w:rPr>
            </w:pPr>
            <w:r>
              <w:rPr>
                <w:rFonts w:hint="eastAsia" w:ascii="宋体" w:hAnsi="宋体"/>
                <w:b/>
                <w:bCs/>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5EB95D">
            <w:pPr>
              <w:snapToGrid w:val="0"/>
              <w:spacing w:line="360" w:lineRule="auto"/>
              <w:jc w:val="center"/>
              <w:rPr>
                <w:rFonts w:ascii="宋体" w:hAnsi="宋体"/>
                <w:b/>
                <w:bCs/>
                <w:szCs w:val="21"/>
                <w:highlight w:val="none"/>
              </w:rPr>
            </w:pPr>
            <w:r>
              <w:rPr>
                <w:rFonts w:hint="eastAsia" w:ascii="宋体" w:hAnsi="宋体"/>
                <w:b/>
                <w:szCs w:val="21"/>
                <w:highlight w:val="none"/>
              </w:rPr>
              <w:t>劳动合同编号</w:t>
            </w:r>
          </w:p>
        </w:tc>
      </w:tr>
      <w:tr w14:paraId="7066A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4196C2">
            <w:pPr>
              <w:snapToGrid w:val="0"/>
              <w:spacing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5BB055">
            <w:pPr>
              <w:snapToGrid w:val="0"/>
              <w:spacing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C9662C">
            <w:pPr>
              <w:snapToGrid w:val="0"/>
              <w:spacing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562FE1">
            <w:pPr>
              <w:snapToGrid w:val="0"/>
              <w:spacing w:beforeLines="50" w:after="50" w:line="360" w:lineRule="auto"/>
              <w:rPr>
                <w:rFonts w:ascii="宋体" w:hAnsi="宋体"/>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B54A94">
            <w:pPr>
              <w:snapToGrid w:val="0"/>
              <w:spacing w:beforeLines="50" w:after="50" w:line="360" w:lineRule="auto"/>
              <w:rPr>
                <w:rFonts w:ascii="宋体" w:hAnsi="宋体"/>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3AAD6D">
            <w:pPr>
              <w:snapToGrid w:val="0"/>
              <w:spacing w:beforeLines="50" w:after="50" w:line="360" w:lineRule="auto"/>
              <w:rPr>
                <w:rFonts w:ascii="宋体" w:hAnsi="宋体"/>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4EAFF5">
            <w:pPr>
              <w:snapToGrid w:val="0"/>
              <w:spacing w:beforeLines="50" w:after="50" w:line="360" w:lineRule="auto"/>
              <w:rPr>
                <w:rFonts w:ascii="宋体" w:hAnsi="宋体"/>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624B0E">
            <w:pPr>
              <w:snapToGrid w:val="0"/>
              <w:spacing w:beforeLines="50" w:after="50" w:line="360" w:lineRule="auto"/>
              <w:rPr>
                <w:rFonts w:ascii="宋体" w:hAnsi="宋体"/>
                <w:b/>
                <w:kern w:val="44"/>
                <w:szCs w:val="21"/>
                <w:highlight w:val="none"/>
              </w:rPr>
            </w:pPr>
          </w:p>
        </w:tc>
      </w:tr>
      <w:tr w14:paraId="23E15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1A2DA0">
            <w:pPr>
              <w:snapToGrid w:val="0"/>
              <w:spacing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0D4BCF">
            <w:pPr>
              <w:snapToGrid w:val="0"/>
              <w:spacing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79DD7C">
            <w:pPr>
              <w:snapToGrid w:val="0"/>
              <w:spacing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441D2A">
            <w:pPr>
              <w:snapToGrid w:val="0"/>
              <w:spacing w:beforeLines="50" w:after="50" w:line="360" w:lineRule="auto"/>
              <w:rPr>
                <w:rFonts w:ascii="宋体" w:hAnsi="宋体"/>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8EB86E">
            <w:pPr>
              <w:snapToGrid w:val="0"/>
              <w:spacing w:beforeLines="50" w:after="50" w:line="360" w:lineRule="auto"/>
              <w:rPr>
                <w:rFonts w:ascii="宋体" w:hAnsi="宋体"/>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617602">
            <w:pPr>
              <w:snapToGrid w:val="0"/>
              <w:spacing w:beforeLines="50" w:after="50" w:line="360" w:lineRule="auto"/>
              <w:rPr>
                <w:rFonts w:ascii="宋体" w:hAnsi="宋体"/>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5878C3">
            <w:pPr>
              <w:snapToGrid w:val="0"/>
              <w:spacing w:beforeLines="50" w:after="50" w:line="360" w:lineRule="auto"/>
              <w:rPr>
                <w:rFonts w:ascii="宋体" w:hAnsi="宋体"/>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89ABFC">
            <w:pPr>
              <w:snapToGrid w:val="0"/>
              <w:spacing w:beforeLines="50" w:after="50" w:line="360" w:lineRule="auto"/>
              <w:rPr>
                <w:rFonts w:ascii="宋体" w:hAnsi="宋体"/>
                <w:b/>
                <w:kern w:val="44"/>
                <w:szCs w:val="21"/>
                <w:highlight w:val="none"/>
              </w:rPr>
            </w:pPr>
          </w:p>
        </w:tc>
      </w:tr>
      <w:tr w14:paraId="75592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136FD0">
            <w:pPr>
              <w:snapToGrid w:val="0"/>
              <w:spacing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F4EAE3">
            <w:pPr>
              <w:snapToGrid w:val="0"/>
              <w:spacing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946277">
            <w:pPr>
              <w:snapToGrid w:val="0"/>
              <w:spacing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6847C0">
            <w:pPr>
              <w:pStyle w:val="12"/>
              <w:snapToGrid w:val="0"/>
              <w:spacing w:beforeLines="50" w:after="50" w:line="360" w:lineRule="auto"/>
              <w:ind w:left="5250"/>
              <w:rPr>
                <w:rFonts w:ascii="宋体" w:hAnsi="宋体" w:eastAsia="宋体"/>
                <w:b/>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E175C6">
            <w:pPr>
              <w:pStyle w:val="12"/>
              <w:snapToGrid w:val="0"/>
              <w:spacing w:beforeLines="50" w:after="50" w:line="360" w:lineRule="auto"/>
              <w:ind w:left="5250"/>
              <w:rPr>
                <w:rFonts w:ascii="宋体" w:hAnsi="宋体" w:eastAsia="宋体"/>
                <w:b/>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ED5375">
            <w:pPr>
              <w:pStyle w:val="12"/>
              <w:spacing w:line="360" w:lineRule="auto"/>
              <w:ind w:left="5250"/>
              <w:rPr>
                <w:rFonts w:ascii="宋体" w:hAnsi="宋体"/>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1072B4">
            <w:pPr>
              <w:snapToGrid w:val="0"/>
              <w:spacing w:beforeLines="50" w:after="50" w:line="360" w:lineRule="auto"/>
              <w:rPr>
                <w:rFonts w:ascii="宋体" w:hAnsi="宋体"/>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7CAFA8">
            <w:pPr>
              <w:snapToGrid w:val="0"/>
              <w:spacing w:beforeLines="50" w:after="50" w:line="360" w:lineRule="auto"/>
              <w:rPr>
                <w:rFonts w:ascii="宋体" w:hAnsi="宋体"/>
                <w:b/>
                <w:kern w:val="44"/>
                <w:szCs w:val="21"/>
                <w:highlight w:val="none"/>
              </w:rPr>
            </w:pPr>
          </w:p>
        </w:tc>
      </w:tr>
      <w:tr w14:paraId="770C4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46F0E8">
            <w:pPr>
              <w:snapToGrid w:val="0"/>
              <w:spacing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E15441">
            <w:pPr>
              <w:snapToGrid w:val="0"/>
              <w:spacing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626A76">
            <w:pPr>
              <w:snapToGrid w:val="0"/>
              <w:spacing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D84EB8">
            <w:pPr>
              <w:snapToGrid w:val="0"/>
              <w:spacing w:beforeLines="50" w:after="50" w:line="360" w:lineRule="auto"/>
              <w:rPr>
                <w:rFonts w:ascii="宋体" w:hAnsi="宋体"/>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D3AC2C">
            <w:pPr>
              <w:snapToGrid w:val="0"/>
              <w:spacing w:beforeLines="50" w:after="50" w:line="360" w:lineRule="auto"/>
              <w:rPr>
                <w:rFonts w:ascii="宋体" w:hAnsi="宋体"/>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0CC068">
            <w:pPr>
              <w:snapToGrid w:val="0"/>
              <w:spacing w:beforeLines="50" w:after="50" w:line="360" w:lineRule="auto"/>
              <w:rPr>
                <w:rFonts w:ascii="宋体" w:hAnsi="宋体"/>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927C4A">
            <w:pPr>
              <w:snapToGrid w:val="0"/>
              <w:spacing w:beforeLines="50" w:after="50" w:line="360" w:lineRule="auto"/>
              <w:rPr>
                <w:rFonts w:ascii="宋体" w:hAnsi="宋体"/>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0CBB90">
            <w:pPr>
              <w:snapToGrid w:val="0"/>
              <w:spacing w:beforeLines="50" w:after="50" w:line="360" w:lineRule="auto"/>
              <w:rPr>
                <w:rFonts w:ascii="宋体" w:hAnsi="宋体"/>
                <w:b/>
                <w:kern w:val="44"/>
                <w:szCs w:val="21"/>
                <w:highlight w:val="none"/>
              </w:rPr>
            </w:pPr>
          </w:p>
        </w:tc>
      </w:tr>
      <w:tr w14:paraId="4B529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0ADD69">
            <w:pPr>
              <w:snapToGrid w:val="0"/>
              <w:spacing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45968F">
            <w:pPr>
              <w:snapToGrid w:val="0"/>
              <w:spacing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CC63B8">
            <w:pPr>
              <w:snapToGrid w:val="0"/>
              <w:spacing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B796CD">
            <w:pPr>
              <w:snapToGrid w:val="0"/>
              <w:spacing w:beforeLines="50" w:after="50" w:line="360" w:lineRule="auto"/>
              <w:rPr>
                <w:rFonts w:ascii="宋体" w:hAnsi="宋体"/>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854141">
            <w:pPr>
              <w:snapToGrid w:val="0"/>
              <w:spacing w:beforeLines="50" w:after="50" w:line="360" w:lineRule="auto"/>
              <w:rPr>
                <w:rFonts w:ascii="宋体" w:hAnsi="宋体"/>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560896">
            <w:pPr>
              <w:snapToGrid w:val="0"/>
              <w:spacing w:beforeLines="50" w:after="50" w:line="360" w:lineRule="auto"/>
              <w:rPr>
                <w:rFonts w:ascii="宋体" w:hAnsi="宋体"/>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9F73B4">
            <w:pPr>
              <w:snapToGrid w:val="0"/>
              <w:spacing w:beforeLines="50" w:after="50" w:line="360" w:lineRule="auto"/>
              <w:rPr>
                <w:rFonts w:ascii="宋体" w:hAnsi="宋体"/>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0D8A60">
            <w:pPr>
              <w:snapToGrid w:val="0"/>
              <w:spacing w:beforeLines="50" w:after="50" w:line="360" w:lineRule="auto"/>
              <w:rPr>
                <w:rFonts w:ascii="宋体" w:hAnsi="宋体"/>
                <w:b/>
                <w:kern w:val="44"/>
                <w:szCs w:val="21"/>
                <w:highlight w:val="none"/>
              </w:rPr>
            </w:pPr>
          </w:p>
        </w:tc>
      </w:tr>
    </w:tbl>
    <w:p w14:paraId="6BFEAD22">
      <w:pPr>
        <w:spacing w:line="360" w:lineRule="auto"/>
        <w:rPr>
          <w:rFonts w:ascii="宋体" w:hAnsi="宋体"/>
          <w:b/>
          <w:szCs w:val="21"/>
          <w:highlight w:val="none"/>
        </w:rPr>
      </w:pPr>
      <w:r>
        <w:rPr>
          <w:rFonts w:hint="eastAsia" w:ascii="宋体" w:hAnsi="宋体"/>
          <w:b/>
          <w:szCs w:val="21"/>
          <w:highlight w:val="none"/>
        </w:rPr>
        <w:t>要求：</w:t>
      </w:r>
    </w:p>
    <w:p w14:paraId="0181B7D3">
      <w:pPr>
        <w:spacing w:line="360" w:lineRule="auto"/>
        <w:ind w:left="437"/>
        <w:rPr>
          <w:rFonts w:ascii="宋体" w:hAnsi="宋体"/>
          <w:szCs w:val="21"/>
          <w:highlight w:val="none"/>
        </w:rPr>
      </w:pPr>
      <w:r>
        <w:rPr>
          <w:rFonts w:hint="eastAsia" w:ascii="宋体" w:hAnsi="宋体"/>
          <w:bCs/>
          <w:szCs w:val="21"/>
          <w:highlight w:val="none"/>
        </w:rPr>
        <w:t>1.在填</w:t>
      </w:r>
      <w:r>
        <w:rPr>
          <w:rFonts w:hint="eastAsia" w:ascii="宋体" w:hAnsi="宋体"/>
          <w:szCs w:val="21"/>
          <w:highlight w:val="none"/>
        </w:rPr>
        <w:t>写时，如本表格不适合投标单位的实际情况，可根据本表格式自行划表填写。</w:t>
      </w:r>
    </w:p>
    <w:p w14:paraId="73B94CE1">
      <w:pPr>
        <w:pStyle w:val="39"/>
        <w:spacing w:line="360" w:lineRule="auto"/>
        <w:ind w:left="424" w:leftChars="202"/>
        <w:rPr>
          <w:rFonts w:ascii="宋体" w:hAnsi="宋体"/>
          <w:szCs w:val="21"/>
          <w:highlight w:val="none"/>
        </w:rPr>
      </w:pPr>
      <w:r>
        <w:rPr>
          <w:rFonts w:hint="eastAsia" w:ascii="宋体" w:hAnsi="宋体"/>
          <w:szCs w:val="21"/>
          <w:highlight w:val="none"/>
        </w:rPr>
        <w:t>2.附人员证书。</w:t>
      </w:r>
    </w:p>
    <w:p w14:paraId="52D6F578">
      <w:pPr>
        <w:pStyle w:val="39"/>
        <w:spacing w:line="360" w:lineRule="auto"/>
        <w:rPr>
          <w:rFonts w:ascii="宋体" w:hAnsi="宋体"/>
          <w:szCs w:val="21"/>
          <w:highlight w:val="none"/>
        </w:rPr>
      </w:pPr>
      <w:r>
        <w:rPr>
          <w:rFonts w:hint="eastAsia" w:ascii="宋体" w:hAnsi="宋体"/>
          <w:szCs w:val="21"/>
          <w:highlight w:val="none"/>
        </w:rPr>
        <w:t>　　3.出具上述人员在本单位服务的外部证明，如：</w:t>
      </w:r>
      <w:r>
        <w:rPr>
          <w:rFonts w:ascii="宋体" w:hAnsi="宋体"/>
          <w:szCs w:val="21"/>
          <w:highlight w:val="none"/>
        </w:rPr>
        <w:t>投标截止日之前的</w:t>
      </w:r>
      <w:r>
        <w:rPr>
          <w:rFonts w:hint="eastAsia" w:ascii="宋体" w:hAnsi="宋体"/>
          <w:szCs w:val="21"/>
          <w:highlight w:val="none"/>
        </w:rPr>
        <w:t>代缴个税税单、参加社会保险的《投保单》或《社会保险参保人员证明》等。</w:t>
      </w:r>
    </w:p>
    <w:p w14:paraId="4ACCAC5B">
      <w:pPr>
        <w:snapToGrid w:val="0"/>
        <w:spacing w:before="50" w:afterLines="50" w:line="360" w:lineRule="auto"/>
        <w:jc w:val="left"/>
        <w:rPr>
          <w:rFonts w:ascii="宋体" w:hAnsi="宋体"/>
          <w:sz w:val="24"/>
          <w:szCs w:val="20"/>
          <w:highlight w:val="none"/>
        </w:rPr>
      </w:pPr>
    </w:p>
    <w:p w14:paraId="49CFA9E3">
      <w:pPr>
        <w:spacing w:line="360" w:lineRule="auto"/>
        <w:ind w:left="420"/>
        <w:rPr>
          <w:rFonts w:ascii="宋体" w:hAnsi="宋体"/>
          <w:sz w:val="24"/>
          <w:highlight w:val="none"/>
          <w:u w:val="single"/>
        </w:rPr>
      </w:pPr>
      <w:r>
        <w:rPr>
          <w:rFonts w:hint="eastAsia" w:ascii="宋体" w:hAnsi="宋体"/>
          <w:sz w:val="24"/>
          <w:highlight w:val="none"/>
        </w:rPr>
        <w:t>投标人名称（</w:t>
      </w:r>
      <w:r>
        <w:rPr>
          <w:rFonts w:hint="eastAsia" w:ascii="宋体"/>
          <w:sz w:val="24"/>
          <w:highlight w:val="none"/>
        </w:rPr>
        <w:t>电子</w:t>
      </w:r>
      <w:r>
        <w:rPr>
          <w:rFonts w:hint="eastAsia" w:ascii="宋体" w:hAnsi="宋体"/>
          <w:sz w:val="24"/>
          <w:highlight w:val="none"/>
        </w:rPr>
        <w:t>公章）：</w:t>
      </w:r>
    </w:p>
    <w:p w14:paraId="4872219D">
      <w:pPr>
        <w:spacing w:line="360" w:lineRule="auto"/>
        <w:ind w:left="420"/>
        <w:rPr>
          <w:rFonts w:ascii="宋体" w:hAnsi="宋体"/>
          <w:sz w:val="24"/>
          <w:highlight w:val="none"/>
        </w:rPr>
      </w:pPr>
    </w:p>
    <w:p w14:paraId="50B99CC5">
      <w:pPr>
        <w:spacing w:line="360" w:lineRule="auto"/>
        <w:ind w:firstLine="435"/>
        <w:rPr>
          <w:rFonts w:ascii="宋体" w:hAnsi="宋体"/>
          <w:sz w:val="24"/>
          <w:highlight w:val="none"/>
        </w:rPr>
      </w:pPr>
      <w:r>
        <w:rPr>
          <w:rFonts w:hint="eastAsia" w:ascii="宋体" w:hAnsi="宋体" w:cs="FangSong_GB2312"/>
          <w:kern w:val="0"/>
          <w:sz w:val="24"/>
          <w:highlight w:val="none"/>
          <w:lang w:val="zh-CN"/>
        </w:rPr>
        <w:t>法定代表人或授权委托人签字</w:t>
      </w:r>
      <w:r>
        <w:rPr>
          <w:rFonts w:hint="eastAsia" w:ascii="宋体" w:hAnsi="宋体"/>
          <w:sz w:val="24"/>
          <w:highlight w:val="none"/>
        </w:rPr>
        <w:t>：</w:t>
      </w:r>
    </w:p>
    <w:p w14:paraId="6E602186">
      <w:pPr>
        <w:spacing w:line="360" w:lineRule="auto"/>
        <w:ind w:firstLine="435"/>
        <w:rPr>
          <w:rFonts w:ascii="宋体" w:hAnsi="宋体"/>
          <w:sz w:val="24"/>
          <w:highlight w:val="none"/>
        </w:rPr>
      </w:pPr>
    </w:p>
    <w:p w14:paraId="5D18DFC4">
      <w:pPr>
        <w:spacing w:line="360" w:lineRule="auto"/>
        <w:ind w:firstLine="435"/>
        <w:rPr>
          <w:rFonts w:ascii="宋体" w:hAnsi="宋体"/>
          <w:sz w:val="24"/>
          <w:highlight w:val="none"/>
        </w:rPr>
      </w:pPr>
      <w:r>
        <w:rPr>
          <w:rFonts w:hint="eastAsia" w:ascii="宋体" w:hAnsi="宋体"/>
          <w:sz w:val="24"/>
          <w:highlight w:val="none"/>
        </w:rPr>
        <w:t>职        务：</w:t>
      </w:r>
    </w:p>
    <w:p w14:paraId="197A6D28">
      <w:pPr>
        <w:spacing w:line="360" w:lineRule="auto"/>
        <w:ind w:firstLine="435"/>
        <w:rPr>
          <w:rFonts w:ascii="宋体" w:hAnsi="宋体"/>
          <w:sz w:val="24"/>
          <w:highlight w:val="none"/>
        </w:rPr>
      </w:pPr>
    </w:p>
    <w:p w14:paraId="0B70EE22">
      <w:pPr>
        <w:spacing w:line="360" w:lineRule="auto"/>
        <w:ind w:firstLine="435"/>
        <w:rPr>
          <w:rFonts w:ascii="宋体" w:hAnsi="宋体"/>
          <w:sz w:val="24"/>
          <w:highlight w:val="none"/>
        </w:rPr>
      </w:pPr>
      <w:r>
        <w:rPr>
          <w:rFonts w:hint="eastAsia" w:ascii="宋体" w:hAnsi="宋体"/>
          <w:sz w:val="24"/>
          <w:highlight w:val="none"/>
        </w:rPr>
        <w:t>日        期：</w:t>
      </w:r>
    </w:p>
    <w:p w14:paraId="7C3B53CB">
      <w:pPr>
        <w:spacing w:line="360" w:lineRule="auto"/>
        <w:jc w:val="left"/>
        <w:rPr>
          <w:rFonts w:ascii="宋体" w:hAnsi="宋体"/>
          <w:b/>
          <w:bCs/>
          <w:kern w:val="0"/>
          <w:sz w:val="32"/>
          <w:szCs w:val="32"/>
          <w:highlight w:val="none"/>
        </w:rPr>
      </w:pPr>
    </w:p>
    <w:p w14:paraId="694EDB98">
      <w:pPr>
        <w:spacing w:line="360" w:lineRule="auto"/>
        <w:jc w:val="left"/>
        <w:rPr>
          <w:rFonts w:ascii="宋体" w:hAnsi="宋体"/>
          <w:b/>
          <w:bCs/>
          <w:kern w:val="0"/>
          <w:sz w:val="32"/>
          <w:szCs w:val="32"/>
          <w:highlight w:val="none"/>
        </w:rPr>
      </w:pPr>
      <w:r>
        <w:rPr>
          <w:rFonts w:hint="eastAsia" w:ascii="宋体" w:hAnsi="宋体"/>
          <w:b/>
          <w:bCs/>
          <w:kern w:val="0"/>
          <w:sz w:val="32"/>
          <w:szCs w:val="32"/>
          <w:highlight w:val="none"/>
        </w:rPr>
        <w:t>附件</w:t>
      </w:r>
      <w:r>
        <w:rPr>
          <w:rFonts w:ascii="宋体" w:hAnsi="宋体"/>
          <w:b/>
          <w:bCs/>
          <w:kern w:val="0"/>
          <w:sz w:val="32"/>
          <w:szCs w:val="32"/>
          <w:highlight w:val="none"/>
        </w:rPr>
        <w:t>8</w:t>
      </w:r>
    </w:p>
    <w:p w14:paraId="2197B23F">
      <w:pPr>
        <w:adjustRightInd w:val="0"/>
        <w:snapToGrid w:val="0"/>
        <w:spacing w:line="360" w:lineRule="auto"/>
        <w:ind w:firstLine="1205" w:firstLineChars="375"/>
        <w:jc w:val="center"/>
        <w:rPr>
          <w:rFonts w:ascii="宋体" w:hAnsi="宋体"/>
          <w:b/>
          <w:kern w:val="0"/>
          <w:sz w:val="32"/>
          <w:szCs w:val="32"/>
          <w:highlight w:val="none"/>
        </w:rPr>
      </w:pPr>
      <w:r>
        <w:rPr>
          <w:rFonts w:hint="eastAsia" w:ascii="宋体" w:hAnsi="宋体"/>
          <w:b/>
          <w:kern w:val="0"/>
          <w:sz w:val="32"/>
          <w:szCs w:val="32"/>
          <w:highlight w:val="none"/>
        </w:rPr>
        <w:t>服务与商务需求响应表</w:t>
      </w:r>
    </w:p>
    <w:tbl>
      <w:tblPr>
        <w:tblStyle w:val="24"/>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70"/>
        <w:gridCol w:w="2707"/>
        <w:gridCol w:w="1349"/>
        <w:gridCol w:w="771"/>
      </w:tblGrid>
      <w:tr w14:paraId="510F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2B1DDEFF">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序号</w:t>
            </w:r>
          </w:p>
        </w:tc>
        <w:tc>
          <w:tcPr>
            <w:tcW w:w="3870" w:type="dxa"/>
            <w:vAlign w:val="center"/>
          </w:tcPr>
          <w:p w14:paraId="55760F09">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u w:val="thick" w:color="FFFFFF"/>
              </w:rPr>
              <w:t>招标文件</w:t>
            </w:r>
            <w:r>
              <w:rPr>
                <w:rFonts w:ascii="宋体" w:hAnsi="宋体"/>
                <w:sz w:val="24"/>
                <w:highlight w:val="none"/>
              </w:rPr>
              <w:t>要求</w:t>
            </w:r>
          </w:p>
        </w:tc>
        <w:tc>
          <w:tcPr>
            <w:tcW w:w="2707" w:type="dxa"/>
            <w:vAlign w:val="center"/>
          </w:tcPr>
          <w:p w14:paraId="238E9A8D">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投标响应内容</w:t>
            </w:r>
          </w:p>
        </w:tc>
        <w:tc>
          <w:tcPr>
            <w:tcW w:w="1349" w:type="dxa"/>
            <w:vAlign w:val="center"/>
          </w:tcPr>
          <w:p w14:paraId="33B089A5">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响应情况</w:t>
            </w:r>
          </w:p>
        </w:tc>
        <w:tc>
          <w:tcPr>
            <w:tcW w:w="771" w:type="dxa"/>
            <w:vAlign w:val="center"/>
          </w:tcPr>
          <w:p w14:paraId="38386449">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备注</w:t>
            </w:r>
          </w:p>
        </w:tc>
      </w:tr>
      <w:tr w14:paraId="0708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3D0F5153">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1</w:t>
            </w:r>
          </w:p>
        </w:tc>
        <w:tc>
          <w:tcPr>
            <w:tcW w:w="3870" w:type="dxa"/>
            <w:vAlign w:val="center"/>
          </w:tcPr>
          <w:p w14:paraId="0747D541">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（服务期）</w:t>
            </w:r>
          </w:p>
        </w:tc>
        <w:tc>
          <w:tcPr>
            <w:tcW w:w="2707" w:type="dxa"/>
            <w:vAlign w:val="center"/>
          </w:tcPr>
          <w:p w14:paraId="75DF2039">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71DAB4B8">
            <w:pPr>
              <w:adjustRightInd w:val="0"/>
              <w:snapToGrid w:val="0"/>
              <w:spacing w:before="100" w:beforeAutospacing="1" w:after="100" w:afterAutospacing="1" w:line="360" w:lineRule="auto"/>
              <w:jc w:val="center"/>
              <w:rPr>
                <w:rFonts w:ascii="宋体" w:hAnsi="宋体"/>
                <w:sz w:val="24"/>
                <w:highlight w:val="none"/>
              </w:rPr>
            </w:pPr>
          </w:p>
        </w:tc>
        <w:tc>
          <w:tcPr>
            <w:tcW w:w="771" w:type="dxa"/>
            <w:vAlign w:val="center"/>
          </w:tcPr>
          <w:p w14:paraId="0022E447">
            <w:pPr>
              <w:adjustRightInd w:val="0"/>
              <w:snapToGrid w:val="0"/>
              <w:spacing w:before="100" w:beforeAutospacing="1" w:after="100" w:afterAutospacing="1" w:line="360" w:lineRule="auto"/>
              <w:rPr>
                <w:rFonts w:ascii="宋体" w:hAnsi="宋体"/>
                <w:sz w:val="24"/>
                <w:highlight w:val="none"/>
              </w:rPr>
            </w:pPr>
          </w:p>
        </w:tc>
      </w:tr>
      <w:tr w14:paraId="3182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149C1B97">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2</w:t>
            </w:r>
          </w:p>
        </w:tc>
        <w:tc>
          <w:tcPr>
            <w:tcW w:w="3870" w:type="dxa"/>
            <w:vAlign w:val="center"/>
          </w:tcPr>
          <w:p w14:paraId="0B13822D">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（付款方式）</w:t>
            </w:r>
          </w:p>
        </w:tc>
        <w:tc>
          <w:tcPr>
            <w:tcW w:w="2707" w:type="dxa"/>
            <w:vAlign w:val="center"/>
          </w:tcPr>
          <w:p w14:paraId="75458084">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071D44FC">
            <w:pPr>
              <w:adjustRightInd w:val="0"/>
              <w:snapToGrid w:val="0"/>
              <w:spacing w:before="100" w:beforeAutospacing="1" w:after="100" w:afterAutospacing="1" w:line="360" w:lineRule="auto"/>
              <w:jc w:val="center"/>
              <w:rPr>
                <w:rFonts w:ascii="宋体" w:hAnsi="宋体"/>
                <w:sz w:val="24"/>
                <w:highlight w:val="none"/>
              </w:rPr>
            </w:pPr>
          </w:p>
        </w:tc>
        <w:tc>
          <w:tcPr>
            <w:tcW w:w="771" w:type="dxa"/>
            <w:vAlign w:val="center"/>
          </w:tcPr>
          <w:p w14:paraId="496FD5E0">
            <w:pPr>
              <w:adjustRightInd w:val="0"/>
              <w:snapToGrid w:val="0"/>
              <w:spacing w:before="100" w:beforeAutospacing="1" w:after="100" w:afterAutospacing="1" w:line="360" w:lineRule="auto"/>
              <w:rPr>
                <w:rFonts w:ascii="宋体" w:hAnsi="宋体"/>
                <w:sz w:val="24"/>
                <w:highlight w:val="none"/>
              </w:rPr>
            </w:pPr>
          </w:p>
        </w:tc>
      </w:tr>
      <w:tr w14:paraId="541B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77C11AB4">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3</w:t>
            </w:r>
          </w:p>
        </w:tc>
        <w:tc>
          <w:tcPr>
            <w:tcW w:w="3870" w:type="dxa"/>
            <w:vAlign w:val="center"/>
          </w:tcPr>
          <w:p w14:paraId="4707D0DB">
            <w:pPr>
              <w:adjustRightInd w:val="0"/>
              <w:snapToGrid w:val="0"/>
              <w:spacing w:before="100" w:beforeAutospacing="1" w:after="100" w:afterAutospacing="1" w:line="360" w:lineRule="auto"/>
              <w:jc w:val="center"/>
              <w:rPr>
                <w:rFonts w:ascii="宋体" w:hAnsi="宋体"/>
                <w:sz w:val="24"/>
                <w:highlight w:val="none"/>
              </w:rPr>
            </w:pPr>
          </w:p>
        </w:tc>
        <w:tc>
          <w:tcPr>
            <w:tcW w:w="2707" w:type="dxa"/>
            <w:vAlign w:val="center"/>
          </w:tcPr>
          <w:p w14:paraId="6C7C43A4">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3F5FEA48">
            <w:pPr>
              <w:adjustRightInd w:val="0"/>
              <w:snapToGrid w:val="0"/>
              <w:spacing w:before="100" w:beforeAutospacing="1" w:after="100" w:afterAutospacing="1" w:line="360" w:lineRule="auto"/>
              <w:rPr>
                <w:rFonts w:ascii="宋体" w:hAnsi="宋体"/>
                <w:sz w:val="24"/>
                <w:highlight w:val="none"/>
              </w:rPr>
            </w:pPr>
          </w:p>
        </w:tc>
        <w:tc>
          <w:tcPr>
            <w:tcW w:w="771" w:type="dxa"/>
            <w:vAlign w:val="center"/>
          </w:tcPr>
          <w:p w14:paraId="67731176">
            <w:pPr>
              <w:adjustRightInd w:val="0"/>
              <w:snapToGrid w:val="0"/>
              <w:spacing w:before="100" w:beforeAutospacing="1" w:after="100" w:afterAutospacing="1" w:line="360" w:lineRule="auto"/>
              <w:rPr>
                <w:rFonts w:ascii="宋体" w:hAnsi="宋体"/>
                <w:sz w:val="24"/>
                <w:highlight w:val="none"/>
              </w:rPr>
            </w:pPr>
          </w:p>
        </w:tc>
      </w:tr>
      <w:tr w14:paraId="575C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62E83A7C">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4</w:t>
            </w:r>
          </w:p>
        </w:tc>
        <w:tc>
          <w:tcPr>
            <w:tcW w:w="3870" w:type="dxa"/>
            <w:vAlign w:val="center"/>
          </w:tcPr>
          <w:p w14:paraId="78DA9767">
            <w:pPr>
              <w:adjustRightInd w:val="0"/>
              <w:snapToGrid w:val="0"/>
              <w:spacing w:before="100" w:beforeAutospacing="1" w:after="100" w:afterAutospacing="1" w:line="360" w:lineRule="auto"/>
              <w:jc w:val="center"/>
              <w:rPr>
                <w:rFonts w:ascii="宋体" w:hAnsi="宋体"/>
                <w:sz w:val="24"/>
                <w:highlight w:val="none"/>
              </w:rPr>
            </w:pPr>
          </w:p>
        </w:tc>
        <w:tc>
          <w:tcPr>
            <w:tcW w:w="2707" w:type="dxa"/>
            <w:vAlign w:val="center"/>
          </w:tcPr>
          <w:p w14:paraId="3B669E97">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6BBD0FEE">
            <w:pPr>
              <w:adjustRightInd w:val="0"/>
              <w:snapToGrid w:val="0"/>
              <w:spacing w:before="100" w:beforeAutospacing="1" w:after="100" w:afterAutospacing="1" w:line="360" w:lineRule="auto"/>
              <w:rPr>
                <w:rFonts w:ascii="宋体" w:hAnsi="宋体"/>
                <w:sz w:val="24"/>
                <w:highlight w:val="none"/>
              </w:rPr>
            </w:pPr>
          </w:p>
        </w:tc>
        <w:tc>
          <w:tcPr>
            <w:tcW w:w="771" w:type="dxa"/>
            <w:vAlign w:val="center"/>
          </w:tcPr>
          <w:p w14:paraId="40203011">
            <w:pPr>
              <w:adjustRightInd w:val="0"/>
              <w:snapToGrid w:val="0"/>
              <w:spacing w:before="100" w:beforeAutospacing="1" w:after="100" w:afterAutospacing="1" w:line="360" w:lineRule="auto"/>
              <w:rPr>
                <w:rFonts w:ascii="宋体" w:hAnsi="宋体"/>
                <w:sz w:val="24"/>
                <w:highlight w:val="none"/>
              </w:rPr>
            </w:pPr>
          </w:p>
        </w:tc>
      </w:tr>
      <w:tr w14:paraId="3A4A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08F84AB0">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5</w:t>
            </w:r>
          </w:p>
        </w:tc>
        <w:tc>
          <w:tcPr>
            <w:tcW w:w="3870" w:type="dxa"/>
            <w:vAlign w:val="center"/>
          </w:tcPr>
          <w:p w14:paraId="0A7CBA31">
            <w:pPr>
              <w:adjustRightInd w:val="0"/>
              <w:snapToGrid w:val="0"/>
              <w:spacing w:before="100" w:beforeAutospacing="1" w:after="100" w:afterAutospacing="1" w:line="360" w:lineRule="auto"/>
              <w:jc w:val="center"/>
              <w:rPr>
                <w:rFonts w:ascii="宋体" w:hAnsi="宋体"/>
                <w:sz w:val="24"/>
                <w:highlight w:val="none"/>
              </w:rPr>
            </w:pPr>
          </w:p>
        </w:tc>
        <w:tc>
          <w:tcPr>
            <w:tcW w:w="2707" w:type="dxa"/>
            <w:vAlign w:val="center"/>
          </w:tcPr>
          <w:p w14:paraId="15D7ADA9">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1C6CD642">
            <w:pPr>
              <w:adjustRightInd w:val="0"/>
              <w:snapToGrid w:val="0"/>
              <w:spacing w:before="100" w:beforeAutospacing="1" w:after="100" w:afterAutospacing="1" w:line="360" w:lineRule="auto"/>
              <w:rPr>
                <w:rFonts w:ascii="宋体" w:hAnsi="宋体"/>
                <w:sz w:val="24"/>
                <w:highlight w:val="none"/>
              </w:rPr>
            </w:pPr>
          </w:p>
        </w:tc>
        <w:tc>
          <w:tcPr>
            <w:tcW w:w="771" w:type="dxa"/>
            <w:vAlign w:val="center"/>
          </w:tcPr>
          <w:p w14:paraId="121B6475">
            <w:pPr>
              <w:adjustRightInd w:val="0"/>
              <w:snapToGrid w:val="0"/>
              <w:spacing w:before="100" w:beforeAutospacing="1" w:after="100" w:afterAutospacing="1" w:line="360" w:lineRule="auto"/>
              <w:rPr>
                <w:rFonts w:ascii="宋体" w:hAnsi="宋体"/>
                <w:sz w:val="24"/>
                <w:highlight w:val="none"/>
              </w:rPr>
            </w:pPr>
          </w:p>
        </w:tc>
      </w:tr>
      <w:tr w14:paraId="6E5D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3C4F771C">
            <w:pPr>
              <w:adjustRightInd w:val="0"/>
              <w:snapToGrid w:val="0"/>
              <w:spacing w:before="100" w:beforeAutospacing="1" w:after="100" w:afterAutospacing="1" w:line="360" w:lineRule="auto"/>
              <w:jc w:val="center"/>
              <w:rPr>
                <w:rFonts w:ascii="宋体" w:hAnsi="宋体"/>
                <w:sz w:val="24"/>
                <w:highlight w:val="none"/>
              </w:rPr>
            </w:pPr>
          </w:p>
        </w:tc>
        <w:tc>
          <w:tcPr>
            <w:tcW w:w="3870" w:type="dxa"/>
            <w:vAlign w:val="center"/>
          </w:tcPr>
          <w:p w14:paraId="40B90056">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w:t>
            </w:r>
          </w:p>
        </w:tc>
        <w:tc>
          <w:tcPr>
            <w:tcW w:w="2707" w:type="dxa"/>
            <w:vAlign w:val="center"/>
          </w:tcPr>
          <w:p w14:paraId="3A88F988">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052DF00B">
            <w:pPr>
              <w:adjustRightInd w:val="0"/>
              <w:snapToGrid w:val="0"/>
              <w:spacing w:before="100" w:beforeAutospacing="1" w:after="100" w:afterAutospacing="1" w:line="360" w:lineRule="auto"/>
              <w:rPr>
                <w:rFonts w:ascii="宋体" w:hAnsi="宋体"/>
                <w:sz w:val="24"/>
                <w:highlight w:val="none"/>
              </w:rPr>
            </w:pPr>
          </w:p>
        </w:tc>
        <w:tc>
          <w:tcPr>
            <w:tcW w:w="771" w:type="dxa"/>
            <w:vAlign w:val="center"/>
          </w:tcPr>
          <w:p w14:paraId="22B612DC">
            <w:pPr>
              <w:adjustRightInd w:val="0"/>
              <w:snapToGrid w:val="0"/>
              <w:spacing w:before="100" w:beforeAutospacing="1" w:after="100" w:afterAutospacing="1" w:line="360" w:lineRule="auto"/>
              <w:rPr>
                <w:rFonts w:ascii="宋体" w:hAnsi="宋体"/>
                <w:sz w:val="24"/>
                <w:highlight w:val="none"/>
              </w:rPr>
            </w:pPr>
          </w:p>
        </w:tc>
      </w:tr>
      <w:tr w14:paraId="04DC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0690DA1F">
            <w:pPr>
              <w:adjustRightInd w:val="0"/>
              <w:snapToGrid w:val="0"/>
              <w:spacing w:before="100" w:beforeAutospacing="1" w:after="100" w:afterAutospacing="1" w:line="360" w:lineRule="auto"/>
              <w:jc w:val="center"/>
              <w:rPr>
                <w:rFonts w:ascii="宋体" w:hAnsi="宋体"/>
                <w:sz w:val="24"/>
                <w:highlight w:val="none"/>
              </w:rPr>
            </w:pPr>
          </w:p>
        </w:tc>
        <w:tc>
          <w:tcPr>
            <w:tcW w:w="3870" w:type="dxa"/>
            <w:vAlign w:val="center"/>
          </w:tcPr>
          <w:p w14:paraId="552F3CE1">
            <w:pPr>
              <w:adjustRightInd w:val="0"/>
              <w:snapToGrid w:val="0"/>
              <w:spacing w:before="100" w:beforeAutospacing="1" w:after="100" w:afterAutospacing="1" w:line="360" w:lineRule="auto"/>
              <w:rPr>
                <w:rFonts w:ascii="宋体" w:hAnsi="宋体"/>
                <w:sz w:val="24"/>
                <w:highlight w:val="none"/>
              </w:rPr>
            </w:pPr>
          </w:p>
        </w:tc>
        <w:tc>
          <w:tcPr>
            <w:tcW w:w="2707" w:type="dxa"/>
            <w:vAlign w:val="center"/>
          </w:tcPr>
          <w:p w14:paraId="00C6AF58">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54E6CDEE">
            <w:pPr>
              <w:adjustRightInd w:val="0"/>
              <w:snapToGrid w:val="0"/>
              <w:spacing w:before="100" w:beforeAutospacing="1" w:after="100" w:afterAutospacing="1" w:line="360" w:lineRule="auto"/>
              <w:rPr>
                <w:rFonts w:ascii="宋体" w:hAnsi="宋体"/>
                <w:sz w:val="24"/>
                <w:highlight w:val="none"/>
              </w:rPr>
            </w:pPr>
          </w:p>
        </w:tc>
        <w:tc>
          <w:tcPr>
            <w:tcW w:w="771" w:type="dxa"/>
            <w:vAlign w:val="center"/>
          </w:tcPr>
          <w:p w14:paraId="42F59D3F">
            <w:pPr>
              <w:adjustRightInd w:val="0"/>
              <w:snapToGrid w:val="0"/>
              <w:spacing w:before="100" w:beforeAutospacing="1" w:after="100" w:afterAutospacing="1" w:line="360" w:lineRule="auto"/>
              <w:rPr>
                <w:rFonts w:ascii="宋体" w:hAnsi="宋体"/>
                <w:sz w:val="24"/>
                <w:highlight w:val="none"/>
              </w:rPr>
            </w:pPr>
          </w:p>
        </w:tc>
      </w:tr>
      <w:bookmarkEnd w:id="63"/>
      <w:bookmarkEnd w:id="64"/>
    </w:tbl>
    <w:p w14:paraId="14AD43D9">
      <w:pPr>
        <w:spacing w:line="360" w:lineRule="auto"/>
        <w:ind w:left="420"/>
        <w:rPr>
          <w:rFonts w:hAnsi="宋体"/>
          <w:sz w:val="24"/>
          <w:highlight w:val="none"/>
        </w:rPr>
      </w:pPr>
      <w:r>
        <w:rPr>
          <w:rFonts w:hint="eastAsia" w:hAnsi="宋体"/>
          <w:sz w:val="24"/>
          <w:highlight w:val="none"/>
        </w:rPr>
        <w:t>1.本表参照本招标文件第三章“招标需求”内填制，</w:t>
      </w:r>
      <w:r>
        <w:rPr>
          <w:rFonts w:hint="eastAsia" w:hAnsi="宋体"/>
          <w:sz w:val="24"/>
          <w:highlight w:val="none"/>
          <w:lang w:val="en-US" w:eastAsia="zh-CN"/>
        </w:rPr>
        <w:t>投标人</w:t>
      </w:r>
      <w:r>
        <w:rPr>
          <w:rFonts w:hint="eastAsia" w:hAnsi="宋体"/>
          <w:sz w:val="24"/>
          <w:highlight w:val="none"/>
        </w:rPr>
        <w:t>应根据投标的服务指标，对照招标文件要求在“偏离情况”栏注明“正偏离”、“负偏离”或“无偏离”。</w:t>
      </w:r>
    </w:p>
    <w:p w14:paraId="20F1F3B2">
      <w:pPr>
        <w:spacing w:line="360" w:lineRule="auto"/>
        <w:ind w:left="420"/>
        <w:rPr>
          <w:rFonts w:hAnsi="宋体"/>
          <w:sz w:val="24"/>
          <w:highlight w:val="none"/>
        </w:rPr>
      </w:pPr>
      <w:r>
        <w:rPr>
          <w:rFonts w:hint="eastAsia" w:hAnsi="宋体"/>
          <w:sz w:val="24"/>
          <w:highlight w:val="none"/>
        </w:rPr>
        <w:t>2.对于偏离情况需严格按照招标文件的要求一一比对给出，未达到文件中规定的要求应以负偏离标注。若因技术实现方式等其他问题而导致的理解不同未标注负偏离的，需在备注中具体说明;若未按要求标注负偏离又未予以说明的，评审小组将视偏离程度给予扣分或认定为虚假应标。</w:t>
      </w:r>
    </w:p>
    <w:p w14:paraId="7B48B758">
      <w:pPr>
        <w:pStyle w:val="23"/>
        <w:spacing w:line="360" w:lineRule="auto"/>
        <w:rPr>
          <w:highlight w:val="none"/>
        </w:rPr>
      </w:pPr>
    </w:p>
    <w:p w14:paraId="642F972D">
      <w:pPr>
        <w:spacing w:line="360" w:lineRule="auto"/>
        <w:ind w:left="420"/>
        <w:rPr>
          <w:rFonts w:ascii="宋体" w:hAnsi="宋体"/>
          <w:sz w:val="24"/>
          <w:highlight w:val="none"/>
          <w:u w:val="single"/>
        </w:rPr>
      </w:pPr>
      <w:r>
        <w:rPr>
          <w:rFonts w:hint="eastAsia" w:ascii="宋体" w:hAnsi="宋体"/>
          <w:sz w:val="24"/>
          <w:highlight w:val="none"/>
        </w:rPr>
        <w:t>投标人名称（</w:t>
      </w:r>
      <w:r>
        <w:rPr>
          <w:rFonts w:hint="eastAsia" w:ascii="宋体"/>
          <w:sz w:val="24"/>
          <w:highlight w:val="none"/>
        </w:rPr>
        <w:t>电子</w:t>
      </w:r>
      <w:r>
        <w:rPr>
          <w:rFonts w:hint="eastAsia" w:ascii="宋体" w:hAnsi="宋体"/>
          <w:sz w:val="24"/>
          <w:highlight w:val="none"/>
        </w:rPr>
        <w:t>公章）：</w:t>
      </w:r>
    </w:p>
    <w:p w14:paraId="35AA0DAF">
      <w:pPr>
        <w:spacing w:line="360" w:lineRule="auto"/>
        <w:ind w:firstLine="435"/>
        <w:rPr>
          <w:rFonts w:ascii="宋体" w:hAnsi="宋体"/>
          <w:sz w:val="24"/>
          <w:highlight w:val="none"/>
        </w:rPr>
      </w:pPr>
      <w:r>
        <w:rPr>
          <w:rFonts w:hint="eastAsia" w:ascii="宋体" w:hAnsi="宋体" w:cs="FangSong_GB2312"/>
          <w:kern w:val="0"/>
          <w:sz w:val="24"/>
          <w:highlight w:val="none"/>
          <w:lang w:val="zh-CN"/>
        </w:rPr>
        <w:t>法定代表人或授权委托人签字</w:t>
      </w:r>
      <w:r>
        <w:rPr>
          <w:rFonts w:hint="eastAsia" w:ascii="宋体" w:hAnsi="宋体"/>
          <w:sz w:val="24"/>
          <w:highlight w:val="none"/>
        </w:rPr>
        <w:t>：</w:t>
      </w:r>
    </w:p>
    <w:p w14:paraId="4F273F41">
      <w:pPr>
        <w:spacing w:line="360" w:lineRule="auto"/>
        <w:ind w:firstLine="435"/>
        <w:rPr>
          <w:rFonts w:ascii="宋体" w:hAnsi="宋体"/>
          <w:sz w:val="24"/>
          <w:highlight w:val="none"/>
          <w:u w:val="single"/>
        </w:rPr>
      </w:pPr>
      <w:r>
        <w:rPr>
          <w:rFonts w:hint="eastAsia" w:ascii="宋体" w:hAnsi="宋体"/>
          <w:sz w:val="24"/>
          <w:highlight w:val="none"/>
        </w:rPr>
        <w:t>职        务：</w:t>
      </w:r>
    </w:p>
    <w:p w14:paraId="6138F64E">
      <w:pPr>
        <w:spacing w:line="360" w:lineRule="auto"/>
        <w:ind w:firstLine="435"/>
        <w:rPr>
          <w:rFonts w:ascii="宋体" w:hAnsi="宋体"/>
          <w:sz w:val="24"/>
          <w:highlight w:val="none"/>
        </w:rPr>
      </w:pPr>
      <w:r>
        <w:rPr>
          <w:rFonts w:hint="eastAsia" w:ascii="宋体" w:hAnsi="宋体"/>
          <w:sz w:val="24"/>
          <w:highlight w:val="none"/>
        </w:rPr>
        <w:t>日        期：</w:t>
      </w:r>
    </w:p>
    <w:p w14:paraId="7AEA4F33">
      <w:pPr>
        <w:spacing w:line="360" w:lineRule="auto"/>
        <w:rPr>
          <w:rFonts w:ascii="宋体" w:hAnsi="宋体"/>
          <w:b/>
          <w:sz w:val="28"/>
          <w:highlight w:val="none"/>
        </w:rPr>
      </w:pPr>
    </w:p>
    <w:p w14:paraId="35CFC745">
      <w:pPr>
        <w:spacing w:line="360" w:lineRule="auto"/>
        <w:rPr>
          <w:rFonts w:ascii="宋体" w:hAnsi="宋体"/>
          <w:b/>
          <w:sz w:val="28"/>
          <w:highlight w:val="none"/>
        </w:rPr>
      </w:pPr>
    </w:p>
    <w:p w14:paraId="676CD715">
      <w:pPr>
        <w:spacing w:line="360" w:lineRule="auto"/>
        <w:rPr>
          <w:rFonts w:ascii="宋体" w:hAnsi="宋体"/>
          <w:b/>
          <w:sz w:val="28"/>
          <w:highlight w:val="none"/>
        </w:rPr>
      </w:pPr>
      <w:r>
        <w:rPr>
          <w:rFonts w:hint="eastAsia" w:ascii="宋体" w:hAnsi="宋体"/>
          <w:b/>
          <w:sz w:val="28"/>
          <w:highlight w:val="none"/>
        </w:rPr>
        <w:t>附件</w:t>
      </w:r>
      <w:r>
        <w:rPr>
          <w:rFonts w:ascii="宋体" w:hAnsi="宋体"/>
          <w:b/>
          <w:sz w:val="28"/>
          <w:highlight w:val="none"/>
        </w:rPr>
        <w:t>9</w:t>
      </w:r>
    </w:p>
    <w:p w14:paraId="000DFDED">
      <w:pPr>
        <w:spacing w:line="360" w:lineRule="auto"/>
        <w:jc w:val="center"/>
        <w:rPr>
          <w:rFonts w:ascii="宋体" w:hAnsi="宋体"/>
          <w:b/>
          <w:bCs/>
          <w:kern w:val="0"/>
          <w:sz w:val="32"/>
          <w:szCs w:val="32"/>
          <w:highlight w:val="none"/>
        </w:rPr>
      </w:pPr>
      <w:r>
        <w:rPr>
          <w:rFonts w:hint="eastAsia" w:ascii="宋体" w:hAnsi="宋体"/>
          <w:b/>
          <w:bCs/>
          <w:kern w:val="0"/>
          <w:sz w:val="32"/>
          <w:szCs w:val="32"/>
          <w:highlight w:val="none"/>
        </w:rPr>
        <w:t>同类业绩证明</w:t>
      </w:r>
    </w:p>
    <w:tbl>
      <w:tblPr>
        <w:tblStyle w:val="24"/>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3A7AD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4AA0447">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912BF9E">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4E1752A">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1E64006">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AC58369">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E1F4AA8">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0FA78D5">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项目单位名称及其联系人电话</w:t>
            </w:r>
          </w:p>
        </w:tc>
      </w:tr>
      <w:tr w14:paraId="22616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CF581D">
            <w:pPr>
              <w:pStyle w:val="41"/>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56A14C9">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BE55E6">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66097C">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9BE382">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E8D3BF">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79139A">
            <w:pPr>
              <w:pStyle w:val="41"/>
              <w:spacing w:line="360" w:lineRule="auto"/>
              <w:rPr>
                <w:rFonts w:asciiTheme="minorEastAsia" w:hAnsiTheme="minorEastAsia" w:eastAsiaTheme="minorEastAsia" w:cstheme="minorEastAsia"/>
                <w:szCs w:val="21"/>
                <w:highlight w:val="none"/>
              </w:rPr>
            </w:pPr>
          </w:p>
        </w:tc>
      </w:tr>
      <w:tr w14:paraId="05530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F7EDCAD">
            <w:pPr>
              <w:pStyle w:val="41"/>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B40211">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02D5CD">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725A28">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EBC2C1">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A4F25A">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78FC10">
            <w:pPr>
              <w:pStyle w:val="41"/>
              <w:spacing w:line="360" w:lineRule="auto"/>
              <w:rPr>
                <w:rFonts w:asciiTheme="minorEastAsia" w:hAnsiTheme="minorEastAsia" w:eastAsiaTheme="minorEastAsia" w:cstheme="minorEastAsia"/>
                <w:szCs w:val="21"/>
                <w:highlight w:val="none"/>
              </w:rPr>
            </w:pPr>
          </w:p>
        </w:tc>
      </w:tr>
      <w:tr w14:paraId="728FC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030EB0">
            <w:pPr>
              <w:pStyle w:val="41"/>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5138B9">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9CBA72">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42E31F">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11F29B">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FDF72E">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461EC4">
            <w:pPr>
              <w:pStyle w:val="41"/>
              <w:spacing w:line="360" w:lineRule="auto"/>
              <w:rPr>
                <w:rFonts w:asciiTheme="minorEastAsia" w:hAnsiTheme="minorEastAsia" w:eastAsiaTheme="minorEastAsia" w:cstheme="minorEastAsia"/>
                <w:szCs w:val="21"/>
                <w:highlight w:val="none"/>
              </w:rPr>
            </w:pPr>
          </w:p>
        </w:tc>
      </w:tr>
      <w:tr w14:paraId="14B3C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2740A1">
            <w:pPr>
              <w:pStyle w:val="41"/>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101A4F">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F64303">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C5D18E">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E0CB89">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D6A1808">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83435F">
            <w:pPr>
              <w:pStyle w:val="41"/>
              <w:spacing w:line="360" w:lineRule="auto"/>
              <w:rPr>
                <w:rFonts w:asciiTheme="minorEastAsia" w:hAnsiTheme="minorEastAsia" w:eastAsiaTheme="minorEastAsia" w:cstheme="minorEastAsia"/>
                <w:szCs w:val="21"/>
                <w:highlight w:val="none"/>
              </w:rPr>
            </w:pPr>
          </w:p>
        </w:tc>
      </w:tr>
      <w:tr w14:paraId="42D0F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5A6949">
            <w:pPr>
              <w:pStyle w:val="41"/>
              <w:spacing w:line="360" w:lineRule="auto"/>
              <w:rPr>
                <w:rFonts w:asciiTheme="minorEastAsia" w:hAnsiTheme="minorEastAsia" w:eastAsiaTheme="minorEastAsia" w:cstheme="minorEastAsia"/>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DAA7CA">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375377">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8F29E2">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7764BA6">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B56320">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338B99">
            <w:pPr>
              <w:pStyle w:val="41"/>
              <w:spacing w:line="360" w:lineRule="auto"/>
              <w:rPr>
                <w:rFonts w:asciiTheme="minorEastAsia" w:hAnsiTheme="minorEastAsia" w:eastAsiaTheme="minorEastAsia" w:cstheme="minorEastAsia"/>
                <w:szCs w:val="21"/>
                <w:highlight w:val="none"/>
              </w:rPr>
            </w:pPr>
          </w:p>
        </w:tc>
      </w:tr>
      <w:tr w14:paraId="3A9C5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F131B6A">
            <w:pPr>
              <w:pStyle w:val="41"/>
              <w:spacing w:line="360" w:lineRule="auto"/>
              <w:rPr>
                <w:rFonts w:asciiTheme="minorEastAsia" w:hAnsiTheme="minorEastAsia" w:eastAsiaTheme="minorEastAsia" w:cstheme="minorEastAsia"/>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6B8BCE">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908890">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B5F760">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B6556A1">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BBD3AA">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A1CFF40">
            <w:pPr>
              <w:pStyle w:val="41"/>
              <w:spacing w:line="360" w:lineRule="auto"/>
              <w:rPr>
                <w:rFonts w:asciiTheme="minorEastAsia" w:hAnsiTheme="minorEastAsia" w:eastAsiaTheme="minorEastAsia" w:cstheme="minorEastAsia"/>
                <w:szCs w:val="21"/>
                <w:highlight w:val="none"/>
              </w:rPr>
            </w:pPr>
          </w:p>
        </w:tc>
      </w:tr>
      <w:tr w14:paraId="75101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24FC83">
            <w:pPr>
              <w:pStyle w:val="41"/>
              <w:spacing w:line="360" w:lineRule="auto"/>
              <w:rPr>
                <w:rFonts w:asciiTheme="minorEastAsia" w:hAnsiTheme="minorEastAsia" w:eastAsiaTheme="minorEastAsia" w:cstheme="minorEastAsia"/>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29FDBA">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F7C713">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362324">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991EB6">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691AFF">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0B6C81">
            <w:pPr>
              <w:pStyle w:val="41"/>
              <w:spacing w:line="360" w:lineRule="auto"/>
              <w:rPr>
                <w:rFonts w:asciiTheme="minorEastAsia" w:hAnsiTheme="minorEastAsia" w:eastAsiaTheme="minorEastAsia" w:cstheme="minorEastAsia"/>
                <w:szCs w:val="21"/>
                <w:highlight w:val="none"/>
              </w:rPr>
            </w:pPr>
          </w:p>
        </w:tc>
      </w:tr>
    </w:tbl>
    <w:p w14:paraId="08B4338B">
      <w:pPr>
        <w:autoSpaceDE w:val="0"/>
        <w:autoSpaceDN w:val="0"/>
        <w:adjustRightInd w:val="0"/>
        <w:spacing w:beforeLines="50" w:line="360" w:lineRule="auto"/>
        <w:rPr>
          <w:rFonts w:ascii="宋体" w:hAnsi="宋体" w:cs="Arial"/>
          <w:b/>
          <w:szCs w:val="21"/>
          <w:highlight w:val="none"/>
        </w:rPr>
      </w:pPr>
      <w:r>
        <w:rPr>
          <w:rFonts w:hint="eastAsia" w:ascii="宋体" w:hAnsi="宋体" w:cs="Arial"/>
          <w:b/>
          <w:szCs w:val="21"/>
          <w:highlight w:val="none"/>
        </w:rPr>
        <w:t>要求</w:t>
      </w:r>
      <w:r>
        <w:rPr>
          <w:rFonts w:ascii="宋体" w:hAnsi="宋体" w:cs="Arial"/>
          <w:b/>
          <w:szCs w:val="21"/>
          <w:highlight w:val="none"/>
        </w:rPr>
        <w:t>：</w:t>
      </w:r>
    </w:p>
    <w:p w14:paraId="7056FAB4">
      <w:pPr>
        <w:autoSpaceDE w:val="0"/>
        <w:autoSpaceDN w:val="0"/>
        <w:adjustRightInd w:val="0"/>
        <w:spacing w:beforeLines="50" w:line="360" w:lineRule="auto"/>
        <w:ind w:firstLine="420" w:firstLineChars="200"/>
        <w:rPr>
          <w:rFonts w:ascii="宋体" w:hAnsi="宋体" w:cs="Arial"/>
          <w:b/>
          <w:szCs w:val="21"/>
          <w:highlight w:val="none"/>
        </w:rPr>
      </w:pPr>
      <w:r>
        <w:rPr>
          <w:rFonts w:ascii="宋体" w:hAnsi="宋体" w:cs="Arial"/>
          <w:szCs w:val="21"/>
          <w:highlight w:val="none"/>
        </w:rPr>
        <w:t>1</w:t>
      </w:r>
      <w:r>
        <w:rPr>
          <w:rFonts w:hint="eastAsia" w:ascii="宋体" w:hAnsi="宋体" w:cs="Arial"/>
          <w:szCs w:val="21"/>
          <w:highlight w:val="none"/>
        </w:rPr>
        <w:t>.</w:t>
      </w:r>
      <w:r>
        <w:rPr>
          <w:rFonts w:ascii="宋体" w:hAnsi="宋体" w:cs="Arial"/>
          <w:szCs w:val="21"/>
          <w:highlight w:val="none"/>
        </w:rPr>
        <w:t>业绩证明应提供证明材料（合同</w:t>
      </w:r>
      <w:r>
        <w:rPr>
          <w:rFonts w:hint="eastAsia" w:ascii="宋体" w:hAnsi="宋体" w:cs="Arial"/>
          <w:szCs w:val="21"/>
          <w:highlight w:val="none"/>
        </w:rPr>
        <w:t>可只提供首页、含金额页、盖章页并加盖投标人公章</w:t>
      </w:r>
      <w:r>
        <w:rPr>
          <w:rFonts w:ascii="宋体" w:hAnsi="宋体" w:cs="Arial"/>
          <w:szCs w:val="21"/>
          <w:highlight w:val="none"/>
        </w:rPr>
        <w:t>）</w:t>
      </w:r>
      <w:r>
        <w:rPr>
          <w:rFonts w:hint="eastAsia" w:ascii="宋体" w:hAnsi="宋体" w:cs="Arial"/>
          <w:szCs w:val="21"/>
          <w:highlight w:val="none"/>
        </w:rPr>
        <w:t>。</w:t>
      </w:r>
    </w:p>
    <w:p w14:paraId="1FFD62CD">
      <w:pPr>
        <w:spacing w:line="360" w:lineRule="auto"/>
        <w:ind w:firstLine="424" w:firstLineChars="202"/>
        <w:jc w:val="left"/>
        <w:rPr>
          <w:rFonts w:ascii="宋体" w:hAnsi="宋体" w:cs="Arial"/>
          <w:szCs w:val="21"/>
          <w:highlight w:val="none"/>
        </w:rPr>
      </w:pPr>
      <w:r>
        <w:rPr>
          <w:rFonts w:ascii="宋体" w:hAnsi="宋体" w:cs="Arial"/>
          <w:szCs w:val="21"/>
          <w:highlight w:val="none"/>
        </w:rPr>
        <w:t>2</w:t>
      </w:r>
      <w:r>
        <w:rPr>
          <w:rFonts w:hint="eastAsia" w:ascii="宋体" w:hAnsi="宋体" w:cs="Arial"/>
          <w:szCs w:val="21"/>
          <w:highlight w:val="none"/>
        </w:rPr>
        <w:t>.投标人</w:t>
      </w:r>
      <w:r>
        <w:rPr>
          <w:rFonts w:ascii="宋体" w:hAnsi="宋体" w:cs="Arial"/>
          <w:szCs w:val="21"/>
          <w:highlight w:val="none"/>
        </w:rPr>
        <w:t>可按此表格式复制</w:t>
      </w:r>
      <w:r>
        <w:rPr>
          <w:rFonts w:hint="eastAsia" w:ascii="宋体" w:hAnsi="宋体" w:cs="Arial"/>
          <w:szCs w:val="21"/>
          <w:highlight w:val="none"/>
        </w:rPr>
        <w:t>。</w:t>
      </w:r>
    </w:p>
    <w:p w14:paraId="4C0D8060">
      <w:pPr>
        <w:spacing w:line="360" w:lineRule="auto"/>
        <w:rPr>
          <w:rFonts w:ascii="宋体" w:hAnsi="宋体"/>
          <w:sz w:val="22"/>
          <w:szCs w:val="22"/>
          <w:highlight w:val="none"/>
        </w:rPr>
      </w:pPr>
    </w:p>
    <w:p w14:paraId="5B95997A">
      <w:pPr>
        <w:pStyle w:val="23"/>
        <w:spacing w:line="360" w:lineRule="auto"/>
        <w:rPr>
          <w:highlight w:val="none"/>
        </w:rPr>
      </w:pPr>
    </w:p>
    <w:p w14:paraId="190F7CE4">
      <w:pPr>
        <w:spacing w:line="360" w:lineRule="auto"/>
        <w:ind w:left="420"/>
        <w:rPr>
          <w:rFonts w:ascii="宋体" w:hAnsi="宋体"/>
          <w:sz w:val="24"/>
          <w:highlight w:val="none"/>
          <w:u w:val="single"/>
        </w:rPr>
      </w:pPr>
      <w:r>
        <w:rPr>
          <w:rFonts w:hint="eastAsia" w:ascii="宋体" w:hAnsi="宋体"/>
          <w:sz w:val="24"/>
          <w:highlight w:val="none"/>
        </w:rPr>
        <w:t>投标人名称（</w:t>
      </w:r>
      <w:r>
        <w:rPr>
          <w:rFonts w:hint="eastAsia" w:ascii="宋体"/>
          <w:sz w:val="24"/>
          <w:highlight w:val="none"/>
        </w:rPr>
        <w:t>电子</w:t>
      </w:r>
      <w:r>
        <w:rPr>
          <w:rFonts w:hint="eastAsia" w:ascii="宋体" w:hAnsi="宋体"/>
          <w:sz w:val="24"/>
          <w:highlight w:val="none"/>
        </w:rPr>
        <w:t>公章）：</w:t>
      </w:r>
    </w:p>
    <w:p w14:paraId="01535BDC">
      <w:pPr>
        <w:spacing w:line="360" w:lineRule="auto"/>
        <w:ind w:left="420"/>
        <w:rPr>
          <w:rFonts w:ascii="宋体" w:hAnsi="宋体"/>
          <w:sz w:val="24"/>
          <w:highlight w:val="none"/>
        </w:rPr>
      </w:pPr>
    </w:p>
    <w:p w14:paraId="0DF9F143">
      <w:pPr>
        <w:spacing w:line="360" w:lineRule="auto"/>
        <w:ind w:firstLine="435"/>
        <w:rPr>
          <w:rFonts w:ascii="宋体" w:hAnsi="宋体"/>
          <w:sz w:val="24"/>
          <w:highlight w:val="none"/>
        </w:rPr>
      </w:pPr>
      <w:r>
        <w:rPr>
          <w:rFonts w:hint="eastAsia" w:ascii="宋体" w:hAnsi="宋体" w:cs="FangSong_GB2312"/>
          <w:kern w:val="0"/>
          <w:sz w:val="24"/>
          <w:highlight w:val="none"/>
          <w:lang w:val="zh-CN"/>
        </w:rPr>
        <w:t>法定代表人或授权委托人签字</w:t>
      </w:r>
      <w:r>
        <w:rPr>
          <w:rFonts w:hint="eastAsia" w:ascii="宋体" w:hAnsi="宋体"/>
          <w:sz w:val="24"/>
          <w:highlight w:val="none"/>
        </w:rPr>
        <w:t>：</w:t>
      </w:r>
    </w:p>
    <w:p w14:paraId="62693B99">
      <w:pPr>
        <w:spacing w:line="360" w:lineRule="auto"/>
        <w:ind w:firstLine="435"/>
        <w:rPr>
          <w:rFonts w:ascii="宋体" w:hAnsi="宋体"/>
          <w:sz w:val="24"/>
          <w:highlight w:val="none"/>
        </w:rPr>
      </w:pPr>
    </w:p>
    <w:p w14:paraId="5E4B2DF6">
      <w:pPr>
        <w:spacing w:line="360" w:lineRule="auto"/>
        <w:ind w:firstLine="435"/>
        <w:rPr>
          <w:rFonts w:ascii="宋体" w:hAnsi="宋体"/>
          <w:sz w:val="24"/>
          <w:highlight w:val="none"/>
          <w:u w:val="single"/>
        </w:rPr>
      </w:pPr>
      <w:r>
        <w:rPr>
          <w:rFonts w:hint="eastAsia" w:ascii="宋体" w:hAnsi="宋体"/>
          <w:sz w:val="24"/>
          <w:highlight w:val="none"/>
        </w:rPr>
        <w:t>职        务：</w:t>
      </w:r>
    </w:p>
    <w:p w14:paraId="3DA401B5">
      <w:pPr>
        <w:spacing w:line="360" w:lineRule="auto"/>
        <w:rPr>
          <w:rFonts w:ascii="宋体" w:hAnsi="宋体"/>
          <w:sz w:val="24"/>
          <w:highlight w:val="none"/>
        </w:rPr>
      </w:pPr>
    </w:p>
    <w:p w14:paraId="7D8BDB22">
      <w:pPr>
        <w:spacing w:line="360" w:lineRule="auto"/>
        <w:ind w:firstLine="435"/>
        <w:rPr>
          <w:rFonts w:ascii="宋体" w:hAnsi="宋体"/>
          <w:sz w:val="24"/>
          <w:highlight w:val="none"/>
        </w:rPr>
      </w:pPr>
      <w:r>
        <w:rPr>
          <w:rFonts w:hint="eastAsia" w:ascii="宋体" w:hAnsi="宋体"/>
          <w:sz w:val="24"/>
          <w:highlight w:val="none"/>
        </w:rPr>
        <w:t>日        期：</w:t>
      </w:r>
    </w:p>
    <w:p w14:paraId="48093A8D">
      <w:pPr>
        <w:spacing w:line="360" w:lineRule="auto"/>
        <w:jc w:val="center"/>
        <w:rPr>
          <w:rFonts w:ascii="仿宋" w:hAnsi="仿宋" w:eastAsia="仿宋"/>
          <w:snapToGrid w:val="0"/>
          <w:kern w:val="0"/>
          <w:sz w:val="24"/>
          <w:highlight w:val="none"/>
        </w:rPr>
      </w:pPr>
    </w:p>
    <w:p w14:paraId="1E4F96B1">
      <w:pPr>
        <w:pStyle w:val="42"/>
        <w:tabs>
          <w:tab w:val="left" w:pos="1050"/>
        </w:tabs>
        <w:spacing w:line="360" w:lineRule="auto"/>
        <w:rPr>
          <w:rFonts w:ascii="宋体" w:hAnsi="宋体"/>
          <w:b/>
          <w:sz w:val="28"/>
          <w:highlight w:val="none"/>
        </w:rPr>
      </w:pPr>
    </w:p>
    <w:p w14:paraId="4E53F556">
      <w:pPr>
        <w:pStyle w:val="42"/>
        <w:tabs>
          <w:tab w:val="left" w:pos="1050"/>
        </w:tabs>
        <w:spacing w:line="360" w:lineRule="auto"/>
        <w:rPr>
          <w:rFonts w:ascii="宋体" w:hAnsi="宋体"/>
          <w:b/>
          <w:sz w:val="28"/>
          <w:highlight w:val="none"/>
        </w:rPr>
      </w:pPr>
    </w:p>
    <w:p w14:paraId="2881B1CA">
      <w:pPr>
        <w:spacing w:line="360" w:lineRule="auto"/>
        <w:jc w:val="center"/>
        <w:rPr>
          <w:sz w:val="52"/>
          <w:szCs w:val="52"/>
          <w:highlight w:val="none"/>
        </w:rPr>
      </w:pPr>
      <w:bookmarkStart w:id="65" w:name="_Toc30468_WPSOffice_Level1"/>
      <w:bookmarkStart w:id="66" w:name="_Toc4615_WPSOffice_Level1"/>
      <w:bookmarkStart w:id="67" w:name="_Toc21322_WPSOffice_Level1"/>
      <w:r>
        <w:rPr>
          <w:rFonts w:hint="eastAsia"/>
          <w:sz w:val="52"/>
          <w:szCs w:val="52"/>
          <w:highlight w:val="none"/>
        </w:rPr>
        <w:t>项目名称</w:t>
      </w:r>
      <w:bookmarkEnd w:id="65"/>
      <w:bookmarkEnd w:id="66"/>
      <w:bookmarkEnd w:id="67"/>
    </w:p>
    <w:p w14:paraId="6BCB6EF1">
      <w:pPr>
        <w:spacing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  ）</w:t>
      </w:r>
    </w:p>
    <w:p w14:paraId="6851CC8A">
      <w:pPr>
        <w:pStyle w:val="23"/>
        <w:spacing w:line="360" w:lineRule="auto"/>
        <w:rPr>
          <w:highlight w:val="none"/>
        </w:rPr>
      </w:pPr>
    </w:p>
    <w:p w14:paraId="037ABB72">
      <w:pPr>
        <w:spacing w:line="360" w:lineRule="auto"/>
        <w:jc w:val="center"/>
        <w:rPr>
          <w:sz w:val="84"/>
          <w:szCs w:val="84"/>
          <w:highlight w:val="none"/>
        </w:rPr>
      </w:pPr>
      <w:bookmarkStart w:id="68" w:name="_Toc8885_WPSOffice_Level1"/>
      <w:bookmarkStart w:id="69" w:name="_Toc9453_WPSOffice_Level1"/>
      <w:r>
        <w:rPr>
          <w:rFonts w:hint="eastAsia"/>
          <w:sz w:val="84"/>
          <w:szCs w:val="84"/>
          <w:highlight w:val="none"/>
        </w:rPr>
        <w:t>报</w:t>
      </w:r>
      <w:bookmarkEnd w:id="68"/>
      <w:bookmarkEnd w:id="69"/>
    </w:p>
    <w:p w14:paraId="26931DD8">
      <w:pPr>
        <w:spacing w:line="360" w:lineRule="auto"/>
        <w:jc w:val="center"/>
        <w:rPr>
          <w:sz w:val="84"/>
          <w:szCs w:val="84"/>
          <w:highlight w:val="none"/>
        </w:rPr>
      </w:pPr>
      <w:bookmarkStart w:id="70" w:name="_Toc7485_WPSOffice_Level1"/>
      <w:bookmarkStart w:id="71" w:name="_Toc10910_WPSOffice_Level1"/>
      <w:r>
        <w:rPr>
          <w:rFonts w:hint="eastAsia"/>
          <w:sz w:val="84"/>
          <w:szCs w:val="84"/>
          <w:highlight w:val="none"/>
        </w:rPr>
        <w:t>价</w:t>
      </w:r>
      <w:bookmarkEnd w:id="70"/>
      <w:bookmarkEnd w:id="71"/>
    </w:p>
    <w:p w14:paraId="07A50AD5">
      <w:pPr>
        <w:spacing w:line="360" w:lineRule="auto"/>
        <w:jc w:val="center"/>
        <w:rPr>
          <w:sz w:val="84"/>
          <w:szCs w:val="84"/>
          <w:highlight w:val="none"/>
        </w:rPr>
      </w:pPr>
      <w:bookmarkStart w:id="72" w:name="_Toc14572_WPSOffice_Level1"/>
      <w:bookmarkStart w:id="73" w:name="_Toc3932_WPSOffice_Level1"/>
      <w:r>
        <w:rPr>
          <w:rFonts w:hint="eastAsia"/>
          <w:sz w:val="84"/>
          <w:szCs w:val="84"/>
          <w:highlight w:val="none"/>
        </w:rPr>
        <w:t>文</w:t>
      </w:r>
      <w:bookmarkEnd w:id="72"/>
      <w:bookmarkEnd w:id="73"/>
    </w:p>
    <w:p w14:paraId="27E6E61F">
      <w:pPr>
        <w:spacing w:line="360" w:lineRule="auto"/>
        <w:jc w:val="center"/>
        <w:rPr>
          <w:sz w:val="84"/>
          <w:szCs w:val="84"/>
          <w:highlight w:val="none"/>
        </w:rPr>
      </w:pPr>
      <w:bookmarkStart w:id="74" w:name="_Toc16973_WPSOffice_Level1"/>
      <w:bookmarkStart w:id="75" w:name="_Toc7562_WPSOffice_Level1"/>
      <w:r>
        <w:rPr>
          <w:rFonts w:hint="eastAsia"/>
          <w:sz w:val="84"/>
          <w:szCs w:val="84"/>
          <w:highlight w:val="none"/>
        </w:rPr>
        <w:t>件</w:t>
      </w:r>
      <w:bookmarkEnd w:id="74"/>
      <w:bookmarkEnd w:id="75"/>
    </w:p>
    <w:p w14:paraId="5813AE56">
      <w:pPr>
        <w:spacing w:line="360" w:lineRule="auto"/>
        <w:ind w:right="532"/>
        <w:rPr>
          <w:rFonts w:ascii="宋体" w:hAnsi="宋体"/>
          <w:sz w:val="36"/>
          <w:szCs w:val="36"/>
          <w:highlight w:val="none"/>
        </w:rPr>
      </w:pPr>
    </w:p>
    <w:p w14:paraId="53E17DEB">
      <w:pPr>
        <w:spacing w:line="360" w:lineRule="auto"/>
        <w:ind w:right="532"/>
        <w:jc w:val="center"/>
        <w:rPr>
          <w:rFonts w:ascii="宋体" w:hAnsi="宋体"/>
          <w:sz w:val="36"/>
          <w:szCs w:val="36"/>
          <w:highlight w:val="none"/>
        </w:rPr>
      </w:pPr>
    </w:p>
    <w:p w14:paraId="576D0DAD">
      <w:pPr>
        <w:spacing w:line="360" w:lineRule="auto"/>
        <w:ind w:right="532" w:firstLine="720" w:firstLineChars="200"/>
        <w:rPr>
          <w:rFonts w:ascii="宋体" w:hAnsi="宋体"/>
          <w:sz w:val="36"/>
          <w:szCs w:val="36"/>
          <w:highlight w:val="none"/>
        </w:rPr>
      </w:pPr>
      <w:bookmarkStart w:id="76" w:name="_Toc26700_WPSOffice_Level1"/>
      <w:bookmarkStart w:id="77" w:name="_Toc4603_WPSOffice_Level1"/>
      <w:r>
        <w:rPr>
          <w:rFonts w:hint="eastAsia" w:ascii="宋体" w:hAnsi="宋体"/>
          <w:sz w:val="36"/>
          <w:szCs w:val="36"/>
          <w:highlight w:val="none"/>
        </w:rPr>
        <w:t>投标人全称（电子公章）：</w:t>
      </w:r>
      <w:bookmarkEnd w:id="76"/>
      <w:bookmarkEnd w:id="77"/>
    </w:p>
    <w:p w14:paraId="1EA35C26">
      <w:pPr>
        <w:spacing w:line="360" w:lineRule="auto"/>
        <w:ind w:right="-108" w:firstLine="720" w:firstLineChars="200"/>
        <w:rPr>
          <w:rFonts w:ascii="宋体" w:hAnsi="宋体"/>
          <w:sz w:val="36"/>
          <w:szCs w:val="36"/>
          <w:highlight w:val="none"/>
        </w:rPr>
      </w:pPr>
      <w:bookmarkStart w:id="78" w:name="_Toc1391_WPSOffice_Level1"/>
      <w:bookmarkStart w:id="79" w:name="_Toc32593_WPSOffice_Level1"/>
      <w:r>
        <w:rPr>
          <w:rFonts w:hint="eastAsia" w:ascii="宋体" w:hAnsi="宋体"/>
          <w:sz w:val="36"/>
          <w:szCs w:val="36"/>
          <w:highlight w:val="none"/>
        </w:rPr>
        <w:t>地    址：</w:t>
      </w:r>
      <w:bookmarkEnd w:id="78"/>
      <w:bookmarkEnd w:id="79"/>
    </w:p>
    <w:p w14:paraId="2330AB1D">
      <w:pPr>
        <w:spacing w:line="360" w:lineRule="auto"/>
        <w:ind w:right="-108" w:firstLine="720" w:firstLineChars="200"/>
        <w:rPr>
          <w:rFonts w:ascii="宋体" w:hAnsi="宋体"/>
          <w:sz w:val="36"/>
          <w:szCs w:val="36"/>
          <w:highlight w:val="none"/>
        </w:rPr>
      </w:pPr>
      <w:bookmarkStart w:id="80" w:name="_Toc3791_WPSOffice_Level1"/>
      <w:bookmarkStart w:id="81" w:name="_Toc20938_WPSOffice_Level1"/>
      <w:r>
        <w:rPr>
          <w:rFonts w:hint="eastAsia" w:ascii="宋体" w:hAnsi="宋体"/>
          <w:sz w:val="36"/>
          <w:szCs w:val="36"/>
          <w:highlight w:val="none"/>
        </w:rPr>
        <w:t>时    间：</w:t>
      </w:r>
      <w:bookmarkEnd w:id="80"/>
      <w:bookmarkEnd w:id="81"/>
    </w:p>
    <w:p w14:paraId="6AA533A3">
      <w:pPr>
        <w:spacing w:line="360" w:lineRule="auto"/>
        <w:ind w:right="-108"/>
        <w:jc w:val="center"/>
        <w:rPr>
          <w:rFonts w:ascii="FangSong_GB2312" w:hAnsi="宋体" w:eastAsia="FangSong_GB2312"/>
          <w:b/>
          <w:sz w:val="36"/>
          <w:szCs w:val="36"/>
          <w:highlight w:val="none"/>
        </w:rPr>
      </w:pPr>
    </w:p>
    <w:p w14:paraId="4451F69C">
      <w:pPr>
        <w:pStyle w:val="23"/>
        <w:spacing w:line="360" w:lineRule="auto"/>
        <w:rPr>
          <w:highlight w:val="none"/>
        </w:rPr>
      </w:pPr>
    </w:p>
    <w:p w14:paraId="1EACACB0">
      <w:pPr>
        <w:rPr>
          <w:rFonts w:ascii="宋体" w:hAnsi="宋体"/>
          <w:b/>
          <w:bCs/>
          <w:sz w:val="36"/>
          <w:szCs w:val="36"/>
          <w:highlight w:val="none"/>
        </w:rPr>
      </w:pPr>
      <w:bookmarkStart w:id="82" w:name="_Toc29537_WPSOffice_Level1"/>
      <w:bookmarkStart w:id="83" w:name="_Toc19972_WPSOffice_Level1"/>
      <w:r>
        <w:rPr>
          <w:rFonts w:hint="eastAsia" w:ascii="宋体" w:hAnsi="宋体"/>
          <w:b/>
          <w:bCs/>
          <w:sz w:val="36"/>
          <w:szCs w:val="36"/>
          <w:highlight w:val="none"/>
        </w:rPr>
        <w:br w:type="page"/>
      </w:r>
    </w:p>
    <w:p w14:paraId="40DBB962">
      <w:pPr>
        <w:spacing w:line="360" w:lineRule="auto"/>
        <w:jc w:val="center"/>
        <w:rPr>
          <w:rFonts w:ascii="宋体" w:hAnsi="宋体"/>
          <w:b/>
          <w:bCs/>
          <w:sz w:val="36"/>
          <w:szCs w:val="36"/>
          <w:highlight w:val="none"/>
        </w:rPr>
      </w:pPr>
      <w:r>
        <w:rPr>
          <w:rFonts w:hint="eastAsia" w:ascii="宋体" w:hAnsi="宋体"/>
          <w:b/>
          <w:bCs/>
          <w:sz w:val="36"/>
          <w:szCs w:val="36"/>
          <w:highlight w:val="none"/>
        </w:rPr>
        <w:t>报价文件目录</w:t>
      </w:r>
      <w:bookmarkEnd w:id="82"/>
      <w:bookmarkEnd w:id="83"/>
    </w:p>
    <w:p w14:paraId="6219F609">
      <w:pPr>
        <w:pStyle w:val="23"/>
        <w:spacing w:line="360" w:lineRule="auto"/>
        <w:rPr>
          <w:highlight w:val="none"/>
        </w:rPr>
      </w:pPr>
    </w:p>
    <w:p w14:paraId="63D86092">
      <w:pPr>
        <w:spacing w:line="360" w:lineRule="auto"/>
        <w:rPr>
          <w:rFonts w:asciiTheme="minorEastAsia" w:hAnsiTheme="minorEastAsia" w:eastAsiaTheme="minorEastAsia" w:cstheme="minorEastAsia"/>
          <w:sz w:val="28"/>
          <w:szCs w:val="28"/>
          <w:highlight w:val="none"/>
        </w:rPr>
      </w:pPr>
    </w:p>
    <w:p w14:paraId="4BA6B421">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bookmarkStart w:id="84" w:name="_Toc29988_WPSOffice_Level1"/>
      <w:bookmarkStart w:id="85" w:name="_Toc6778_WPSOffice_Level1"/>
      <w:r>
        <w:rPr>
          <w:rFonts w:hint="eastAsia" w:asciiTheme="minorEastAsia" w:hAnsiTheme="minorEastAsia" w:eastAsiaTheme="minorEastAsia"/>
          <w:kern w:val="0"/>
          <w:sz w:val="24"/>
          <w:highlight w:val="none"/>
        </w:rPr>
        <w:t>（1）开标一览表（</w:t>
      </w:r>
      <w:r>
        <w:rPr>
          <w:rFonts w:hint="eastAsia" w:ascii="宋体" w:hAnsi="宋体"/>
          <w:bCs/>
          <w:sz w:val="24"/>
          <w:highlight w:val="none"/>
        </w:rPr>
        <w:t>格式详见附件</w:t>
      </w:r>
      <w:r>
        <w:rPr>
          <w:rFonts w:hint="eastAsia" w:asciiTheme="minorEastAsia" w:hAnsiTheme="minorEastAsia" w:eastAsiaTheme="minorEastAsia"/>
          <w:kern w:val="0"/>
          <w:sz w:val="24"/>
          <w:highlight w:val="none"/>
        </w:rPr>
        <w:t>）；</w:t>
      </w:r>
    </w:p>
    <w:p w14:paraId="4255B21F">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宋体" w:hAnsi="宋体" w:cs="宋体"/>
          <w:sz w:val="24"/>
          <w:highlight w:val="none"/>
        </w:rPr>
        <w:t>（2）</w:t>
      </w:r>
      <w:r>
        <w:rPr>
          <w:rFonts w:hint="eastAsia" w:asciiTheme="minorEastAsia" w:hAnsiTheme="minorEastAsia" w:eastAsiaTheme="minorEastAsia"/>
          <w:kern w:val="0"/>
          <w:sz w:val="24"/>
          <w:highlight w:val="none"/>
        </w:rPr>
        <w:t>针对报价投标人认为其他需要说明的</w:t>
      </w:r>
      <w:r>
        <w:rPr>
          <w:rFonts w:hint="eastAsia" w:ascii="宋体" w:hAnsi="宋体" w:cs="宋体"/>
          <w:bCs/>
          <w:sz w:val="24"/>
          <w:highlight w:val="none"/>
        </w:rPr>
        <w:t>（如有）</w:t>
      </w:r>
      <w:r>
        <w:rPr>
          <w:rFonts w:hint="eastAsia" w:asciiTheme="minorEastAsia" w:hAnsiTheme="minorEastAsia" w:eastAsiaTheme="minorEastAsia"/>
          <w:kern w:val="0"/>
          <w:sz w:val="24"/>
          <w:highlight w:val="none"/>
        </w:rPr>
        <w:t>。</w:t>
      </w:r>
    </w:p>
    <w:bookmarkEnd w:id="84"/>
    <w:bookmarkEnd w:id="85"/>
    <w:p w14:paraId="63C3588F">
      <w:pPr>
        <w:spacing w:line="360" w:lineRule="auto"/>
        <w:ind w:firstLine="480" w:firstLineChars="200"/>
        <w:rPr>
          <w:sz w:val="24"/>
          <w:highlight w:val="none"/>
        </w:rPr>
      </w:pPr>
    </w:p>
    <w:p w14:paraId="79D8D0E9">
      <w:pPr>
        <w:spacing w:line="360" w:lineRule="auto"/>
        <w:ind w:firstLine="482" w:firstLineChars="200"/>
        <w:rPr>
          <w:rFonts w:ascii="宋体" w:hAnsi="宋体"/>
          <w:b/>
          <w:sz w:val="24"/>
          <w:highlight w:val="none"/>
        </w:rPr>
      </w:pPr>
    </w:p>
    <w:p w14:paraId="71BC4D94">
      <w:pPr>
        <w:spacing w:line="360" w:lineRule="auto"/>
        <w:ind w:left="480"/>
        <w:rPr>
          <w:rFonts w:ascii="宋体" w:hAnsi="宋体"/>
          <w:b/>
          <w:sz w:val="28"/>
          <w:highlight w:val="none"/>
        </w:rPr>
      </w:pPr>
    </w:p>
    <w:p w14:paraId="3235A79C">
      <w:pPr>
        <w:spacing w:line="360" w:lineRule="auto"/>
        <w:ind w:left="480"/>
        <w:rPr>
          <w:rFonts w:ascii="宋体" w:hAnsi="宋体"/>
          <w:b/>
          <w:sz w:val="28"/>
          <w:highlight w:val="none"/>
        </w:rPr>
      </w:pPr>
    </w:p>
    <w:p w14:paraId="5578712B">
      <w:pPr>
        <w:spacing w:line="360" w:lineRule="auto"/>
        <w:ind w:left="480"/>
        <w:rPr>
          <w:rFonts w:ascii="宋体" w:hAnsi="宋体"/>
          <w:b/>
          <w:sz w:val="28"/>
          <w:highlight w:val="none"/>
        </w:rPr>
      </w:pPr>
    </w:p>
    <w:p w14:paraId="660C58E4">
      <w:pPr>
        <w:spacing w:line="360" w:lineRule="auto"/>
        <w:ind w:left="480"/>
        <w:rPr>
          <w:rFonts w:ascii="宋体" w:hAnsi="宋体"/>
          <w:b/>
          <w:sz w:val="28"/>
          <w:highlight w:val="none"/>
        </w:rPr>
      </w:pPr>
    </w:p>
    <w:p w14:paraId="3A7DD33C">
      <w:pPr>
        <w:spacing w:line="360" w:lineRule="auto"/>
        <w:ind w:left="480"/>
        <w:rPr>
          <w:rFonts w:ascii="宋体" w:hAnsi="宋体"/>
          <w:b/>
          <w:sz w:val="28"/>
          <w:highlight w:val="none"/>
        </w:rPr>
      </w:pPr>
    </w:p>
    <w:p w14:paraId="32ECF520">
      <w:pPr>
        <w:spacing w:line="360" w:lineRule="auto"/>
        <w:ind w:left="480"/>
        <w:rPr>
          <w:rFonts w:ascii="宋体" w:hAnsi="宋体"/>
          <w:b/>
          <w:sz w:val="28"/>
          <w:highlight w:val="none"/>
        </w:rPr>
      </w:pPr>
    </w:p>
    <w:p w14:paraId="47204DB9">
      <w:pPr>
        <w:spacing w:line="360" w:lineRule="auto"/>
        <w:ind w:left="480"/>
        <w:rPr>
          <w:rFonts w:ascii="宋体" w:hAnsi="宋体"/>
          <w:b/>
          <w:sz w:val="28"/>
          <w:highlight w:val="none"/>
        </w:rPr>
      </w:pPr>
    </w:p>
    <w:p w14:paraId="63646566">
      <w:pPr>
        <w:spacing w:line="360" w:lineRule="auto"/>
        <w:ind w:left="480"/>
        <w:rPr>
          <w:rFonts w:ascii="宋体" w:hAnsi="宋体"/>
          <w:b/>
          <w:sz w:val="28"/>
          <w:highlight w:val="none"/>
        </w:rPr>
      </w:pPr>
    </w:p>
    <w:p w14:paraId="43522448">
      <w:pPr>
        <w:spacing w:line="360" w:lineRule="auto"/>
        <w:ind w:left="480"/>
        <w:rPr>
          <w:rFonts w:ascii="宋体" w:hAnsi="宋体"/>
          <w:b/>
          <w:sz w:val="28"/>
          <w:highlight w:val="none"/>
        </w:rPr>
      </w:pPr>
    </w:p>
    <w:p w14:paraId="388C7E1E">
      <w:pPr>
        <w:spacing w:line="360" w:lineRule="auto"/>
        <w:ind w:left="480"/>
        <w:rPr>
          <w:rFonts w:ascii="宋体" w:hAnsi="宋体"/>
          <w:b/>
          <w:sz w:val="28"/>
          <w:highlight w:val="none"/>
        </w:rPr>
      </w:pPr>
    </w:p>
    <w:p w14:paraId="59A13666">
      <w:pPr>
        <w:spacing w:line="360" w:lineRule="auto"/>
        <w:ind w:left="480"/>
        <w:rPr>
          <w:rFonts w:ascii="宋体" w:hAnsi="宋体"/>
          <w:b/>
          <w:sz w:val="28"/>
          <w:highlight w:val="none"/>
        </w:rPr>
      </w:pPr>
    </w:p>
    <w:p w14:paraId="3844F45E">
      <w:pPr>
        <w:spacing w:line="360" w:lineRule="auto"/>
        <w:ind w:left="480"/>
        <w:rPr>
          <w:rFonts w:ascii="宋体" w:hAnsi="宋体"/>
          <w:b/>
          <w:sz w:val="28"/>
          <w:highlight w:val="none"/>
        </w:rPr>
      </w:pPr>
    </w:p>
    <w:p w14:paraId="33F45F9F">
      <w:pPr>
        <w:spacing w:line="360" w:lineRule="auto"/>
        <w:ind w:left="480"/>
        <w:rPr>
          <w:rFonts w:ascii="宋体" w:hAnsi="宋体"/>
          <w:b/>
          <w:sz w:val="28"/>
          <w:highlight w:val="none"/>
        </w:rPr>
      </w:pPr>
    </w:p>
    <w:p w14:paraId="578FAE2B">
      <w:pPr>
        <w:spacing w:line="360" w:lineRule="auto"/>
        <w:rPr>
          <w:rFonts w:ascii="宋体" w:hAnsi="宋体"/>
          <w:b/>
          <w:sz w:val="28"/>
          <w:highlight w:val="none"/>
        </w:rPr>
      </w:pPr>
      <w:r>
        <w:rPr>
          <w:rFonts w:hint="eastAsia" w:ascii="宋体" w:hAnsi="宋体"/>
          <w:b/>
          <w:sz w:val="28"/>
          <w:highlight w:val="none"/>
        </w:rPr>
        <w:br w:type="page"/>
      </w:r>
    </w:p>
    <w:p w14:paraId="17259567">
      <w:pPr>
        <w:spacing w:line="360" w:lineRule="auto"/>
        <w:rPr>
          <w:rFonts w:ascii="宋体" w:hAnsi="宋体"/>
          <w:b/>
          <w:sz w:val="28"/>
          <w:highlight w:val="none"/>
        </w:rPr>
      </w:pPr>
      <w:r>
        <w:rPr>
          <w:rFonts w:hint="eastAsia" w:ascii="宋体" w:hAnsi="宋体"/>
          <w:b/>
          <w:sz w:val="28"/>
          <w:highlight w:val="none"/>
        </w:rPr>
        <w:t>附件11</w:t>
      </w:r>
    </w:p>
    <w:p w14:paraId="037358BB">
      <w:pPr>
        <w:spacing w:line="360" w:lineRule="auto"/>
        <w:ind w:left="-2" w:hanging="2"/>
        <w:jc w:val="center"/>
        <w:rPr>
          <w:rFonts w:ascii="宋体" w:hAnsi="宋体" w:cs="宋体"/>
          <w:b/>
          <w:sz w:val="24"/>
          <w:highlight w:val="none"/>
        </w:rPr>
      </w:pPr>
      <w:bookmarkStart w:id="86" w:name="_Toc16144_WPSOffice_Level1"/>
      <w:bookmarkStart w:id="87" w:name="_Toc30363_WPSOffice_Level1"/>
      <w:r>
        <w:rPr>
          <w:rFonts w:hint="eastAsia" w:ascii="宋体" w:hAnsi="宋体" w:cs="宋体"/>
          <w:b/>
          <w:sz w:val="24"/>
          <w:highlight w:val="none"/>
        </w:rPr>
        <w:t>开标一览表</w:t>
      </w:r>
      <w:bookmarkEnd w:id="86"/>
      <w:bookmarkEnd w:id="87"/>
    </w:p>
    <w:p w14:paraId="7929BA61">
      <w:pPr>
        <w:widowControl/>
        <w:shd w:val="clear" w:color="auto" w:fill="FFFFFF"/>
        <w:snapToGrid w:val="0"/>
        <w:spacing w:after="50" w:line="360" w:lineRule="auto"/>
        <w:jc w:val="left"/>
        <w:rPr>
          <w:rFonts w:ascii="宋体" w:hAnsi="宋体"/>
          <w:kern w:val="0"/>
          <w:sz w:val="24"/>
          <w:highlight w:val="none"/>
        </w:rPr>
      </w:pPr>
      <w:r>
        <w:rPr>
          <w:rFonts w:hint="eastAsia" w:ascii="宋体" w:hAnsi="宋体"/>
          <w:kern w:val="0"/>
          <w:sz w:val="24"/>
          <w:highlight w:val="none"/>
          <w:u w:val="single"/>
        </w:rPr>
        <w:t>浙江金豹运业有限公司</w:t>
      </w:r>
      <w:r>
        <w:rPr>
          <w:rFonts w:ascii="宋体" w:hAnsi="宋体"/>
          <w:kern w:val="0"/>
          <w:sz w:val="24"/>
          <w:highlight w:val="none"/>
        </w:rPr>
        <w:t>：</w:t>
      </w:r>
    </w:p>
    <w:p w14:paraId="5AAAFC08">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按贵方招标文件要求，我方承诺按照</w:t>
      </w:r>
      <w:r>
        <w:rPr>
          <w:rFonts w:hint="eastAsia" w:ascii="宋体" w:hAnsi="宋体" w:cs="宋体"/>
          <w:sz w:val="24"/>
          <w:highlight w:val="none"/>
        </w:rPr>
        <w:t>以下</w:t>
      </w:r>
      <w:r>
        <w:rPr>
          <w:rFonts w:hint="eastAsia" w:ascii="宋体" w:hAnsi="宋体" w:cs="宋体"/>
          <w:sz w:val="24"/>
          <w:highlight w:val="none"/>
          <w:lang w:val="zh-CN"/>
        </w:rPr>
        <w:t>开标一览表的</w:t>
      </w:r>
      <w:r>
        <w:rPr>
          <w:rFonts w:hint="eastAsia" w:ascii="宋体" w:hAnsi="宋体" w:cs="宋体"/>
          <w:sz w:val="24"/>
          <w:highlight w:val="none"/>
        </w:rPr>
        <w:t>折扣系数</w:t>
      </w:r>
      <w:r>
        <w:rPr>
          <w:rFonts w:hint="eastAsia" w:ascii="宋体" w:hAnsi="宋体" w:cs="宋体"/>
          <w:sz w:val="24"/>
          <w:highlight w:val="none"/>
          <w:lang w:val="zh-CN"/>
        </w:rPr>
        <w:t>完成</w:t>
      </w:r>
      <w:r>
        <w:rPr>
          <w:rFonts w:hint="eastAsia" w:ascii="宋体" w:hAnsi="宋体"/>
          <w:sz w:val="24"/>
          <w:highlight w:val="none"/>
          <w:u w:val="single"/>
        </w:rPr>
        <w:t>浙江金豹运业有限公司车辆保险采购</w:t>
      </w:r>
      <w:r>
        <w:rPr>
          <w:rFonts w:hint="eastAsia" w:ascii="宋体" w:hAnsi="宋体" w:cs="宋体"/>
          <w:sz w:val="24"/>
          <w:highlight w:val="none"/>
          <w:lang w:val="zh-CN"/>
        </w:rPr>
        <w:t>的</w:t>
      </w:r>
      <w:r>
        <w:rPr>
          <w:rFonts w:hint="eastAsia" w:ascii="宋体" w:hAnsi="宋体" w:cs="宋体"/>
          <w:sz w:val="24"/>
          <w:highlight w:val="none"/>
        </w:rPr>
        <w:t>保险服务</w:t>
      </w:r>
      <w:r>
        <w:rPr>
          <w:rFonts w:hint="eastAsia" w:ascii="宋体" w:hAnsi="宋体" w:cs="宋体"/>
          <w:sz w:val="24"/>
          <w:highlight w:val="none"/>
          <w:lang w:val="zh-CN"/>
        </w:rPr>
        <w:t>。</w:t>
      </w:r>
    </w:p>
    <w:tbl>
      <w:tblPr>
        <w:tblStyle w:val="24"/>
        <w:tblpPr w:leftFromText="180" w:rightFromText="180" w:vertAnchor="text" w:horzAnchor="page" w:tblpXSpec="center" w:tblpY="2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4886"/>
        <w:gridCol w:w="1688"/>
      </w:tblGrid>
      <w:tr w14:paraId="1001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5" w:type="dxa"/>
            <w:gridSpan w:val="2"/>
            <w:vAlign w:val="center"/>
          </w:tcPr>
          <w:p w14:paraId="1F312C8D">
            <w:pPr>
              <w:jc w:val="center"/>
              <w:rPr>
                <w:rFonts w:ascii="宋体" w:hAnsi="宋体" w:cs="宋体"/>
                <w:sz w:val="24"/>
                <w:highlight w:val="none"/>
              </w:rPr>
            </w:pPr>
            <w:r>
              <w:rPr>
                <w:rFonts w:hint="eastAsia" w:ascii="宋体" w:hAnsi="宋体" w:cs="宋体"/>
                <w:b/>
                <w:bCs/>
                <w:sz w:val="24"/>
                <w:highlight w:val="none"/>
              </w:rPr>
              <w:t>车辆保险自主定价系数</w:t>
            </w:r>
          </w:p>
        </w:tc>
        <w:tc>
          <w:tcPr>
            <w:tcW w:w="1688" w:type="dxa"/>
            <w:vAlign w:val="center"/>
          </w:tcPr>
          <w:p w14:paraId="5D724119">
            <w:pPr>
              <w:jc w:val="center"/>
              <w:rPr>
                <w:rFonts w:ascii="宋体" w:hAnsi="宋体" w:cs="宋体"/>
                <w:sz w:val="24"/>
                <w:highlight w:val="none"/>
              </w:rPr>
            </w:pPr>
            <w:r>
              <w:rPr>
                <w:rFonts w:hint="eastAsia" w:ascii="宋体" w:hAnsi="宋体" w:cs="宋体"/>
                <w:b/>
                <w:bCs/>
                <w:sz w:val="24"/>
                <w:highlight w:val="none"/>
              </w:rPr>
              <w:t>最高投标限价</w:t>
            </w:r>
          </w:p>
        </w:tc>
      </w:tr>
      <w:tr w14:paraId="4F12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9" w:type="dxa"/>
            <w:vAlign w:val="center"/>
          </w:tcPr>
          <w:p w14:paraId="22D6545B">
            <w:pPr>
              <w:jc w:val="center"/>
              <w:rPr>
                <w:rFonts w:ascii="宋体" w:hAnsi="宋体" w:cs="宋体"/>
                <w:sz w:val="24"/>
                <w:highlight w:val="none"/>
              </w:rPr>
            </w:pPr>
            <w:r>
              <w:rPr>
                <w:rFonts w:hint="eastAsia" w:ascii="宋体" w:hAnsi="宋体" w:cs="宋体"/>
                <w:sz w:val="24"/>
                <w:highlight w:val="none"/>
              </w:rPr>
              <w:t>费率折扣系数</w:t>
            </w:r>
          </w:p>
        </w:tc>
        <w:tc>
          <w:tcPr>
            <w:tcW w:w="4886" w:type="dxa"/>
            <w:vAlign w:val="center"/>
          </w:tcPr>
          <w:p w14:paraId="3D9D1DEF">
            <w:pPr>
              <w:rPr>
                <w:rFonts w:ascii="宋体" w:hAnsi="宋体" w:cs="宋体"/>
                <w:sz w:val="24"/>
                <w:highlight w:val="none"/>
                <w:lang w:val="zh-CN"/>
              </w:rPr>
            </w:pPr>
            <w:r>
              <w:rPr>
                <w:rFonts w:hint="eastAsia" w:ascii="宋体" w:hAnsi="宋体" w:cs="宋体"/>
                <w:sz w:val="24"/>
                <w:highlight w:val="none"/>
              </w:rPr>
              <w:t>营业客车自主定价系数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08BD8545">
            <w:pPr>
              <w:jc w:val="center"/>
              <w:rPr>
                <w:rFonts w:ascii="宋体" w:hAnsi="宋体" w:cs="宋体"/>
                <w:sz w:val="24"/>
                <w:highlight w:val="none"/>
                <w:u w:val="single"/>
              </w:rPr>
            </w:pPr>
            <w:r>
              <w:rPr>
                <w:rFonts w:hint="eastAsia" w:ascii="宋体" w:hAnsi="宋体" w:cs="宋体"/>
                <w:sz w:val="24"/>
                <w:highlight w:val="none"/>
                <w:lang w:val="zh-CN"/>
              </w:rPr>
              <w:t>（报价保留小数点后两位，第三位四舍五入）</w:t>
            </w:r>
          </w:p>
        </w:tc>
        <w:tc>
          <w:tcPr>
            <w:tcW w:w="1688" w:type="dxa"/>
            <w:vAlign w:val="center"/>
          </w:tcPr>
          <w:p w14:paraId="032DACBC">
            <w:pPr>
              <w:jc w:val="center"/>
              <w:rPr>
                <w:rFonts w:ascii="宋体" w:hAnsi="宋体" w:cs="宋体"/>
                <w:sz w:val="24"/>
                <w:highlight w:val="none"/>
              </w:rPr>
            </w:pPr>
            <w:r>
              <w:rPr>
                <w:rFonts w:hint="eastAsia" w:ascii="宋体" w:hAnsi="宋体" w:cs="宋体"/>
                <w:b/>
                <w:bCs/>
                <w:sz w:val="24"/>
                <w:highlight w:val="none"/>
              </w:rPr>
              <w:t>0.8</w:t>
            </w:r>
          </w:p>
        </w:tc>
      </w:tr>
      <w:tr w14:paraId="5BE1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9" w:type="dxa"/>
            <w:vAlign w:val="center"/>
          </w:tcPr>
          <w:p w14:paraId="539F313B">
            <w:pPr>
              <w:jc w:val="center"/>
              <w:rPr>
                <w:rFonts w:ascii="宋体" w:hAnsi="宋体" w:cs="宋体"/>
                <w:sz w:val="24"/>
                <w:highlight w:val="none"/>
              </w:rPr>
            </w:pPr>
            <w:r>
              <w:rPr>
                <w:rFonts w:hint="eastAsia" w:ascii="宋体" w:hAnsi="宋体" w:cs="宋体"/>
                <w:sz w:val="24"/>
                <w:highlight w:val="none"/>
              </w:rPr>
              <w:t>费率折扣系数</w:t>
            </w:r>
          </w:p>
        </w:tc>
        <w:tc>
          <w:tcPr>
            <w:tcW w:w="4886" w:type="dxa"/>
            <w:vAlign w:val="center"/>
          </w:tcPr>
          <w:p w14:paraId="224189F0">
            <w:pPr>
              <w:rPr>
                <w:rFonts w:ascii="宋体" w:hAnsi="宋体" w:cs="宋体"/>
                <w:sz w:val="24"/>
                <w:highlight w:val="none"/>
                <w:lang w:val="zh-CN"/>
              </w:rPr>
            </w:pPr>
            <w:r>
              <w:rPr>
                <w:rFonts w:hint="eastAsia" w:ascii="宋体" w:hAnsi="宋体" w:cs="宋体"/>
                <w:sz w:val="24"/>
                <w:highlight w:val="none"/>
              </w:rPr>
              <w:t>非营业客车自主定价系数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03CA856F">
            <w:pPr>
              <w:jc w:val="center"/>
              <w:rPr>
                <w:rFonts w:ascii="宋体" w:hAnsi="宋体" w:cs="宋体"/>
                <w:sz w:val="24"/>
                <w:highlight w:val="none"/>
                <w:u w:val="single"/>
                <w:lang w:val="zh-CN"/>
              </w:rPr>
            </w:pPr>
            <w:r>
              <w:rPr>
                <w:rFonts w:hint="eastAsia" w:ascii="宋体" w:hAnsi="宋体" w:cs="宋体"/>
                <w:sz w:val="24"/>
                <w:highlight w:val="none"/>
                <w:lang w:val="zh-CN"/>
              </w:rPr>
              <w:t>（报价保留小数点后两位，第三位四舍五入）</w:t>
            </w:r>
          </w:p>
        </w:tc>
        <w:tc>
          <w:tcPr>
            <w:tcW w:w="1688" w:type="dxa"/>
            <w:vAlign w:val="center"/>
          </w:tcPr>
          <w:p w14:paraId="755389A0">
            <w:pPr>
              <w:jc w:val="center"/>
              <w:rPr>
                <w:rFonts w:ascii="宋体" w:hAnsi="宋体" w:cs="宋体"/>
                <w:sz w:val="24"/>
                <w:highlight w:val="none"/>
              </w:rPr>
            </w:pPr>
            <w:r>
              <w:rPr>
                <w:rFonts w:hint="eastAsia" w:ascii="宋体" w:hAnsi="宋体" w:cs="宋体"/>
                <w:b/>
                <w:bCs/>
                <w:sz w:val="24"/>
                <w:highlight w:val="none"/>
              </w:rPr>
              <w:t>0.8</w:t>
            </w:r>
          </w:p>
        </w:tc>
      </w:tr>
      <w:tr w14:paraId="467D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9" w:type="dxa"/>
            <w:vAlign w:val="center"/>
          </w:tcPr>
          <w:p w14:paraId="70F39CF3">
            <w:pPr>
              <w:jc w:val="center"/>
              <w:rPr>
                <w:rFonts w:ascii="宋体" w:hAnsi="宋体" w:cs="宋体"/>
                <w:sz w:val="24"/>
                <w:highlight w:val="none"/>
              </w:rPr>
            </w:pPr>
            <w:r>
              <w:rPr>
                <w:rFonts w:hint="eastAsia" w:ascii="宋体" w:hAnsi="宋体" w:cs="宋体"/>
                <w:sz w:val="24"/>
                <w:highlight w:val="none"/>
              </w:rPr>
              <w:t>费率折扣系数</w:t>
            </w:r>
          </w:p>
        </w:tc>
        <w:tc>
          <w:tcPr>
            <w:tcW w:w="4886" w:type="dxa"/>
            <w:vAlign w:val="center"/>
          </w:tcPr>
          <w:p w14:paraId="7F70B133">
            <w:pPr>
              <w:rPr>
                <w:rFonts w:ascii="宋体" w:hAnsi="宋体" w:cs="宋体"/>
                <w:sz w:val="24"/>
                <w:highlight w:val="none"/>
                <w:lang w:val="zh-CN"/>
              </w:rPr>
            </w:pPr>
            <w:r>
              <w:rPr>
                <w:rFonts w:hint="eastAsia" w:ascii="宋体" w:hAnsi="宋体" w:cs="宋体"/>
                <w:sz w:val="24"/>
                <w:highlight w:val="none"/>
              </w:rPr>
              <w:t>非营业货车自主定价系数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02E59D4C">
            <w:pPr>
              <w:jc w:val="center"/>
              <w:rPr>
                <w:rFonts w:ascii="宋体" w:hAnsi="宋体" w:cs="宋体"/>
                <w:sz w:val="24"/>
                <w:highlight w:val="none"/>
                <w:u w:val="single"/>
                <w:lang w:val="zh-CN"/>
              </w:rPr>
            </w:pPr>
            <w:r>
              <w:rPr>
                <w:rFonts w:hint="eastAsia" w:ascii="宋体" w:hAnsi="宋体" w:cs="宋体"/>
                <w:sz w:val="24"/>
                <w:highlight w:val="none"/>
                <w:lang w:val="zh-CN"/>
              </w:rPr>
              <w:t>（报价保留小数点后两位，第三位四舍五入）</w:t>
            </w:r>
          </w:p>
        </w:tc>
        <w:tc>
          <w:tcPr>
            <w:tcW w:w="1688" w:type="dxa"/>
            <w:vAlign w:val="center"/>
          </w:tcPr>
          <w:p w14:paraId="11FB2C97">
            <w:pPr>
              <w:jc w:val="center"/>
              <w:rPr>
                <w:rFonts w:ascii="宋体" w:hAnsi="宋体" w:cs="宋体"/>
                <w:sz w:val="24"/>
                <w:highlight w:val="none"/>
              </w:rPr>
            </w:pPr>
            <w:r>
              <w:rPr>
                <w:rFonts w:hint="eastAsia" w:ascii="宋体" w:hAnsi="宋体" w:cs="宋体"/>
                <w:b/>
                <w:bCs/>
                <w:sz w:val="24"/>
                <w:highlight w:val="none"/>
              </w:rPr>
              <w:t>0.8</w:t>
            </w:r>
          </w:p>
        </w:tc>
      </w:tr>
    </w:tbl>
    <w:p w14:paraId="741C3995">
      <w:pPr>
        <w:autoSpaceDE w:val="0"/>
        <w:autoSpaceDN w:val="0"/>
        <w:adjustRightInd w:val="0"/>
        <w:spacing w:line="360" w:lineRule="auto"/>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b/>
          <w:bCs/>
          <w:sz w:val="24"/>
          <w:highlight w:val="none"/>
        </w:rPr>
        <w:t>商业险保费计算方法</w:t>
      </w:r>
      <w:r>
        <w:rPr>
          <w:rFonts w:hint="eastAsia" w:ascii="宋体" w:hAnsi="宋体" w:cs="宋体"/>
          <w:b/>
          <w:bCs/>
          <w:kern w:val="0"/>
          <w:sz w:val="24"/>
          <w:highlight w:val="none"/>
        </w:rPr>
        <w:t>=标准保费×无赔款优待系数×</w:t>
      </w:r>
      <w:r>
        <w:rPr>
          <w:rFonts w:hint="eastAsia" w:ascii="宋体" w:hAnsi="宋体" w:cs="宋体"/>
          <w:b/>
          <w:bCs/>
          <w:sz w:val="24"/>
          <w:highlight w:val="none"/>
          <w:lang w:val="zh-CN"/>
        </w:rPr>
        <w:t>自主定价系数</w:t>
      </w:r>
      <w:r>
        <w:rPr>
          <w:rFonts w:hint="eastAsia" w:ascii="宋体" w:hAnsi="宋体" w:cs="宋体"/>
          <w:b/>
          <w:bCs/>
          <w:sz w:val="24"/>
          <w:highlight w:val="none"/>
        </w:rPr>
        <w:t>；</w:t>
      </w:r>
      <w:r>
        <w:rPr>
          <w:rFonts w:hint="eastAsia" w:ascii="宋体" w:hAnsi="宋体" w:cs="宋体"/>
          <w:sz w:val="24"/>
          <w:highlight w:val="none"/>
        </w:rPr>
        <w:t>基准保费、</w:t>
      </w:r>
      <w:r>
        <w:rPr>
          <w:rFonts w:hint="eastAsia" w:ascii="宋体" w:hAnsi="宋体" w:cs="宋体"/>
          <w:sz w:val="24"/>
          <w:highlight w:val="none"/>
          <w:lang w:val="zh-CN"/>
        </w:rPr>
        <w:t>无赔款优待系数按国家要求据实</w:t>
      </w:r>
      <w:r>
        <w:rPr>
          <w:rFonts w:hint="eastAsia" w:ascii="宋体" w:hAnsi="宋体" w:cs="宋体"/>
          <w:sz w:val="24"/>
          <w:highlight w:val="none"/>
        </w:rPr>
        <w:t>执行；（详见招标需求）</w:t>
      </w:r>
      <w:r>
        <w:rPr>
          <w:rFonts w:hint="eastAsia" w:ascii="宋体" w:hAnsi="宋体" w:cs="宋体"/>
          <w:sz w:val="24"/>
          <w:highlight w:val="none"/>
          <w:lang w:val="zh-CN"/>
        </w:rPr>
        <w:t>▲交通事故责任强制险在符合政策规定情况下按照最优惠的折扣执行。</w:t>
      </w:r>
      <w:r>
        <w:rPr>
          <w:rFonts w:hint="eastAsia" w:ascii="宋体" w:hAnsi="宋体" w:cs="宋体"/>
          <w:sz w:val="24"/>
          <w:highlight w:val="none"/>
        </w:rPr>
        <w:t>车船税按国家要求</w:t>
      </w:r>
      <w:r>
        <w:rPr>
          <w:rFonts w:hint="eastAsia" w:ascii="宋体" w:hAnsi="宋体" w:cs="宋体"/>
          <w:sz w:val="24"/>
          <w:highlight w:val="none"/>
          <w:lang w:val="zh-CN"/>
        </w:rPr>
        <w:t>据实</w:t>
      </w:r>
      <w:r>
        <w:rPr>
          <w:rFonts w:hint="eastAsia" w:ascii="宋体" w:hAnsi="宋体" w:cs="宋体"/>
          <w:sz w:val="24"/>
          <w:highlight w:val="none"/>
        </w:rPr>
        <w:t>执行</w:t>
      </w:r>
      <w:r>
        <w:rPr>
          <w:rFonts w:hint="eastAsia" w:ascii="宋体" w:hAnsi="宋体" w:cs="宋体"/>
          <w:sz w:val="24"/>
          <w:highlight w:val="none"/>
          <w:lang w:val="zh-CN"/>
        </w:rPr>
        <w:t>；</w:t>
      </w:r>
      <w:r>
        <w:rPr>
          <w:rFonts w:hint="eastAsia" w:ascii="宋体" w:hAnsi="宋体" w:cs="宋体"/>
          <w:sz w:val="24"/>
          <w:highlight w:val="none"/>
        </w:rPr>
        <w:t>（详见招标需求）</w:t>
      </w:r>
    </w:p>
    <w:p w14:paraId="50CC5ED6">
      <w:pPr>
        <w:autoSpaceDE w:val="0"/>
        <w:autoSpaceDN w:val="0"/>
        <w:adjustRightInd w:val="0"/>
        <w:spacing w:line="360" w:lineRule="auto"/>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b/>
          <w:bCs/>
          <w:sz w:val="24"/>
          <w:highlight w:val="none"/>
          <w:lang w:val="zh-CN"/>
        </w:rPr>
        <w:t>开标一览表中</w:t>
      </w:r>
      <w:r>
        <w:rPr>
          <w:rFonts w:hint="eastAsia" w:ascii="宋体" w:hAnsi="宋体" w:cs="宋体"/>
          <w:b/>
          <w:bCs/>
          <w:sz w:val="24"/>
          <w:highlight w:val="none"/>
        </w:rPr>
        <w:t>费率折扣系数</w:t>
      </w:r>
      <w:r>
        <w:rPr>
          <w:rFonts w:hint="eastAsia" w:ascii="宋体" w:hAnsi="宋体" w:cs="宋体"/>
          <w:b/>
          <w:bCs/>
          <w:sz w:val="24"/>
          <w:highlight w:val="none"/>
          <w:lang w:val="zh-CN"/>
        </w:rPr>
        <w:t>为投标单位对采购单位车辆</w:t>
      </w:r>
      <w:r>
        <w:rPr>
          <w:rFonts w:hint="eastAsia" w:ascii="宋体" w:hAnsi="宋体" w:cs="宋体"/>
          <w:b/>
          <w:bCs/>
          <w:sz w:val="24"/>
          <w:highlight w:val="none"/>
        </w:rPr>
        <w:t>商业险部分</w:t>
      </w:r>
      <w:r>
        <w:rPr>
          <w:rFonts w:hint="eastAsia" w:ascii="宋体" w:hAnsi="宋体" w:cs="宋体"/>
          <w:b/>
          <w:bCs/>
          <w:sz w:val="24"/>
          <w:highlight w:val="none"/>
          <w:lang w:val="zh-CN"/>
        </w:rPr>
        <w:t>所</w:t>
      </w:r>
      <w:r>
        <w:rPr>
          <w:rFonts w:hint="eastAsia" w:ascii="宋体" w:hAnsi="宋体" w:cs="宋体"/>
          <w:b/>
          <w:bCs/>
          <w:sz w:val="24"/>
          <w:highlight w:val="none"/>
        </w:rPr>
        <w:t>给与的</w:t>
      </w:r>
      <w:r>
        <w:rPr>
          <w:rFonts w:hint="eastAsia" w:ascii="宋体" w:hAnsi="宋体" w:cs="宋体"/>
          <w:b/>
          <w:bCs/>
          <w:sz w:val="24"/>
          <w:highlight w:val="none"/>
          <w:lang w:val="zh-CN"/>
        </w:rPr>
        <w:t>最低折扣</w:t>
      </w:r>
      <w:r>
        <w:rPr>
          <w:rFonts w:hint="eastAsia" w:ascii="宋体" w:hAnsi="宋体" w:cs="宋体"/>
          <w:b/>
          <w:bCs/>
          <w:sz w:val="24"/>
          <w:highlight w:val="none"/>
        </w:rPr>
        <w:t>系数</w:t>
      </w:r>
      <w:r>
        <w:rPr>
          <w:rFonts w:hint="eastAsia" w:ascii="宋体" w:hAnsi="宋体" w:cs="宋体"/>
          <w:b/>
          <w:bCs/>
          <w:sz w:val="24"/>
          <w:highlight w:val="none"/>
          <w:lang w:val="zh-CN"/>
        </w:rPr>
        <w:t>。</w:t>
      </w:r>
      <w:r>
        <w:rPr>
          <w:rFonts w:hint="eastAsia" w:ascii="宋体" w:hAnsi="宋体" w:cs="宋体"/>
          <w:b/>
          <w:bCs/>
          <w:sz w:val="24"/>
          <w:highlight w:val="none"/>
        </w:rPr>
        <w:t>如投标单位自主定价系数超过最高折扣系数限价，其投标文件作无效标处理。</w:t>
      </w:r>
    </w:p>
    <w:p w14:paraId="3FFA09BF">
      <w:pPr>
        <w:autoSpaceDE w:val="0"/>
        <w:autoSpaceDN w:val="0"/>
        <w:adjustRightInd w:val="0"/>
        <w:spacing w:line="360" w:lineRule="auto"/>
        <w:rPr>
          <w:rFonts w:ascii="宋体" w:hAnsi="宋体" w:cs="宋体"/>
          <w:sz w:val="24"/>
          <w:highlight w:val="none"/>
          <w:lang w:val="zh-CN"/>
        </w:rPr>
      </w:pPr>
      <w:r>
        <w:rPr>
          <w:rFonts w:hint="eastAsia" w:ascii="宋体" w:hAnsi="宋体" w:cs="宋体"/>
          <w:sz w:val="24"/>
          <w:highlight w:val="none"/>
          <w:lang w:val="zh-CN"/>
        </w:rPr>
        <w:t>▲不提供此表格的将视为没有实质性相应采购文件。</w:t>
      </w:r>
    </w:p>
    <w:p w14:paraId="3B560C1E">
      <w:pPr>
        <w:pStyle w:val="11"/>
        <w:widowControl/>
        <w:spacing w:before="120" w:after="120" w:line="360" w:lineRule="auto"/>
        <w:jc w:val="left"/>
        <w:rPr>
          <w:rFonts w:hAnsi="宋体" w:cs="宋体"/>
          <w:b/>
          <w:bCs/>
          <w:sz w:val="24"/>
          <w:highlight w:val="none"/>
        </w:rPr>
      </w:pPr>
      <w:r>
        <w:rPr>
          <w:rFonts w:hint="eastAsia" w:hAnsi="宋体" w:cs="宋体"/>
          <w:b/>
          <w:bCs/>
          <w:sz w:val="24"/>
          <w:highlight w:val="none"/>
          <w:lang w:val="zh-CN"/>
        </w:rPr>
        <w:t>▲</w:t>
      </w:r>
      <w:r>
        <w:rPr>
          <w:rFonts w:hint="eastAsia" w:hAnsi="宋体" w:cs="宋体"/>
          <w:b/>
          <w:bCs/>
          <w:sz w:val="24"/>
          <w:highlight w:val="none"/>
        </w:rPr>
        <w:t>报价必须按招标文件注明的进行报价，否则将可能导致重大偏离予以废标。</w:t>
      </w:r>
    </w:p>
    <w:p w14:paraId="08B101A8">
      <w:pPr>
        <w:pStyle w:val="11"/>
        <w:widowControl/>
        <w:spacing w:before="120" w:after="120" w:line="360" w:lineRule="auto"/>
        <w:jc w:val="left"/>
        <w:rPr>
          <w:rFonts w:hint="eastAsia" w:hAnsi="宋体" w:cs="宋体"/>
          <w:b/>
          <w:bCs/>
          <w:sz w:val="24"/>
          <w:highlight w:val="none"/>
        </w:rPr>
      </w:pPr>
      <w:r>
        <w:rPr>
          <w:rFonts w:hint="eastAsia" w:hAnsi="宋体" w:cs="宋体"/>
          <w:b/>
          <w:bCs/>
          <w:sz w:val="24"/>
          <w:highlight w:val="none"/>
          <w:lang w:val="zh-CN"/>
        </w:rPr>
        <w:t>▲</w:t>
      </w:r>
      <w:r>
        <w:rPr>
          <w:rFonts w:hint="eastAsia" w:hAnsi="宋体" w:cs="宋体"/>
          <w:b/>
          <w:bCs/>
          <w:sz w:val="24"/>
          <w:highlight w:val="none"/>
        </w:rPr>
        <w:t>投标单位商业险费率折扣系数须符合保监会最新规定。</w:t>
      </w:r>
    </w:p>
    <w:p w14:paraId="4BEA30BE">
      <w:pPr>
        <w:pStyle w:val="12"/>
        <w:ind w:left="0" w:leftChars="0" w:firstLine="0" w:firstLineChars="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zh-CN" w:eastAsia="zh-CN" w:bidi="ar-SA"/>
        </w:rPr>
        <w:t>▲</w:t>
      </w:r>
      <w:r>
        <w:rPr>
          <w:rFonts w:hint="eastAsia" w:ascii="宋体" w:hAnsi="宋体" w:eastAsia="宋体" w:cs="宋体"/>
          <w:b/>
          <w:bCs/>
          <w:kern w:val="2"/>
          <w:sz w:val="24"/>
          <w:szCs w:val="24"/>
          <w:highlight w:val="none"/>
          <w:lang w:val="en-US" w:eastAsia="zh-CN" w:bidi="ar-SA"/>
        </w:rPr>
        <w:t>因平台系统设置原因，本次系统报价中默认显示的[“费率”项]为系统自带字段，并非本次招标要求的报价内容。该报价项填写的数值仅为系统提交所需，不作为本次招标评审的依据，不参与任何评分计算，投标人可自行填写任意数值。</w:t>
      </w:r>
    </w:p>
    <w:p w14:paraId="7A5E7370">
      <w:pPr>
        <w:pStyle w:val="12"/>
        <w:ind w:left="5250"/>
        <w:rPr>
          <w:rFonts w:hAnsi="宋体" w:cs="宋体"/>
          <w:b/>
          <w:bCs/>
          <w:sz w:val="24"/>
          <w:highlight w:val="none"/>
        </w:rPr>
      </w:pPr>
    </w:p>
    <w:p w14:paraId="2A30E6B1">
      <w:pPr>
        <w:rPr>
          <w:highlight w:val="none"/>
        </w:rPr>
      </w:pPr>
    </w:p>
    <w:p w14:paraId="43AF11A5">
      <w:pPr>
        <w:snapToGrid w:val="0"/>
        <w:spacing w:before="50" w:after="50" w:line="276" w:lineRule="auto"/>
        <w:rPr>
          <w:rFonts w:ascii="宋体" w:hAnsi="宋体" w:cs="宋体"/>
          <w:sz w:val="24"/>
          <w:highlight w:val="none"/>
        </w:rPr>
      </w:pPr>
    </w:p>
    <w:p w14:paraId="059C41D4">
      <w:pPr>
        <w:adjustRightInd w:val="0"/>
        <w:snapToGrid w:val="0"/>
        <w:spacing w:line="360" w:lineRule="auto"/>
        <w:ind w:firstLine="4838" w:firstLineChars="2016"/>
        <w:rPr>
          <w:rFonts w:ascii="宋体" w:hAnsi="宋体" w:cs="宋体"/>
          <w:kern w:val="0"/>
          <w:sz w:val="24"/>
          <w:highlight w:val="none"/>
          <w:lang w:val="zh-CN"/>
        </w:rPr>
      </w:pPr>
      <w:r>
        <w:rPr>
          <w:rFonts w:hint="eastAsia" w:ascii="宋体" w:hAnsi="宋体" w:cs="宋体"/>
          <w:kern w:val="0"/>
          <w:sz w:val="24"/>
          <w:highlight w:val="none"/>
          <w:lang w:val="en-US" w:eastAsia="zh-CN"/>
        </w:rPr>
        <w:t>投标人</w:t>
      </w:r>
      <w:r>
        <w:rPr>
          <w:rFonts w:hint="eastAsia" w:ascii="宋体" w:hAnsi="宋体" w:cs="宋体"/>
          <w:kern w:val="0"/>
          <w:sz w:val="24"/>
          <w:highlight w:val="none"/>
          <w:lang w:val="zh-CN"/>
        </w:rPr>
        <w:t>名称（</w:t>
      </w:r>
      <w:r>
        <w:rPr>
          <w:rFonts w:hint="eastAsia" w:ascii="宋体" w:hAnsi="宋体" w:cs="宋体"/>
          <w:sz w:val="24"/>
          <w:highlight w:val="none"/>
        </w:rPr>
        <w:t>公章/电子章</w:t>
      </w:r>
      <w:r>
        <w:rPr>
          <w:rFonts w:hint="eastAsia" w:ascii="宋体" w:hAnsi="宋体" w:cs="宋体"/>
          <w:kern w:val="0"/>
          <w:sz w:val="24"/>
          <w:highlight w:val="none"/>
          <w:lang w:val="zh-CN"/>
        </w:rPr>
        <w:t>）：</w:t>
      </w:r>
    </w:p>
    <w:p w14:paraId="7E3DC41D">
      <w:pPr>
        <w:adjustRightInd w:val="0"/>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机构负责人或法定代表人或授权委托人（签字或盖章）：</w:t>
      </w:r>
    </w:p>
    <w:p w14:paraId="6D57EBD0">
      <w:pPr>
        <w:pStyle w:val="10"/>
        <w:jc w:val="right"/>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sz w:val="24"/>
          <w:highlight w:val="none"/>
        </w:rPr>
        <w:t xml:space="preserve">    </w:t>
      </w:r>
      <w:r>
        <w:rPr>
          <w:rFonts w:hint="eastAsia" w:ascii="宋体" w:hAnsi="宋体" w:cs="宋体"/>
          <w:kern w:val="0"/>
          <w:sz w:val="24"/>
          <w:highlight w:val="none"/>
          <w:lang w:val="zh-CN"/>
        </w:rPr>
        <w:t xml:space="preserve">年 </w:t>
      </w:r>
      <w:r>
        <w:rPr>
          <w:rFonts w:hint="eastAsia" w:ascii="宋体" w:hAnsi="宋体" w:cs="宋体"/>
          <w:sz w:val="24"/>
          <w:highlight w:val="none"/>
        </w:rPr>
        <w:t xml:space="preserve">  </w:t>
      </w:r>
      <w:r>
        <w:rPr>
          <w:rFonts w:hint="eastAsia" w:ascii="宋体" w:hAnsi="宋体" w:cs="宋体"/>
          <w:kern w:val="0"/>
          <w:sz w:val="24"/>
          <w:highlight w:val="none"/>
          <w:lang w:val="zh-CN"/>
        </w:rPr>
        <w:t xml:space="preserve"> 月 </w:t>
      </w:r>
      <w:r>
        <w:rPr>
          <w:rFonts w:hint="eastAsia" w:ascii="宋体" w:hAnsi="宋体" w:cs="宋体"/>
          <w:sz w:val="24"/>
          <w:highlight w:val="none"/>
        </w:rPr>
        <w:t xml:space="preserve">  </w:t>
      </w:r>
      <w:r>
        <w:rPr>
          <w:rFonts w:hint="eastAsia" w:ascii="宋体" w:hAnsi="宋体" w:cs="宋体"/>
          <w:kern w:val="0"/>
          <w:sz w:val="24"/>
          <w:highlight w:val="none"/>
          <w:lang w:val="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swiss"/>
    <w:pitch w:val="default"/>
    <w:sig w:usb0="E1002AFF" w:usb1="C0000002" w:usb2="00000008" w:usb3="00000000" w:csb0="200101FF" w:csb1="20280000"/>
  </w:font>
  <w:font w:name="FangSong_GB2312">
    <w:altName w:val="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739A">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992059">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34992059">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A1E15"/>
    <w:multiLevelType w:val="singleLevel"/>
    <w:tmpl w:val="854A1E15"/>
    <w:lvl w:ilvl="0" w:tentative="0">
      <w:start w:val="1"/>
      <w:numFmt w:val="decimalEnclosedCircleChinese"/>
      <w:suff w:val="nothing"/>
      <w:lvlText w:val="%1　"/>
      <w:lvlJc w:val="left"/>
      <w:pPr>
        <w:ind w:left="0" w:firstLine="400"/>
      </w:pPr>
      <w:rPr>
        <w:rFonts w:hint="eastAsia"/>
      </w:rPr>
    </w:lvl>
  </w:abstractNum>
  <w:abstractNum w:abstractNumId="1">
    <w:nsid w:val="9BACC14E"/>
    <w:multiLevelType w:val="singleLevel"/>
    <w:tmpl w:val="9BACC14E"/>
    <w:lvl w:ilvl="0" w:tentative="0">
      <w:start w:val="2"/>
      <w:numFmt w:val="decimal"/>
      <w:suff w:val="nothing"/>
      <w:lvlText w:val="%1、"/>
      <w:lvlJc w:val="left"/>
    </w:lvl>
  </w:abstractNum>
  <w:abstractNum w:abstractNumId="2">
    <w:nsid w:val="C8FE0815"/>
    <w:multiLevelType w:val="singleLevel"/>
    <w:tmpl w:val="C8FE0815"/>
    <w:lvl w:ilvl="0" w:tentative="0">
      <w:start w:val="1"/>
      <w:numFmt w:val="decimal"/>
      <w:lvlText w:val="(%1)"/>
      <w:lvlJc w:val="left"/>
      <w:pPr>
        <w:ind w:left="425" w:hanging="425"/>
      </w:pPr>
      <w:rPr>
        <w:rFonts w:hint="default"/>
      </w:rPr>
    </w:lvl>
  </w:abstractNum>
  <w:abstractNum w:abstractNumId="3">
    <w:nsid w:val="DF48CB86"/>
    <w:multiLevelType w:val="singleLevel"/>
    <w:tmpl w:val="DF48CB86"/>
    <w:lvl w:ilvl="0" w:tentative="0">
      <w:start w:val="1"/>
      <w:numFmt w:val="chineseCounting"/>
      <w:suff w:val="nothing"/>
      <w:lvlText w:val="（%1）"/>
      <w:lvlJc w:val="left"/>
      <w:rPr>
        <w:rFonts w:hint="eastAsia"/>
      </w:r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7">
    <w:nsid w:val="3CEB21C5"/>
    <w:multiLevelType w:val="singleLevel"/>
    <w:tmpl w:val="3CEB21C5"/>
    <w:lvl w:ilvl="0" w:tentative="0">
      <w:start w:val="1"/>
      <w:numFmt w:val="decimal"/>
      <w:lvlText w:val="%1."/>
      <w:lvlJc w:val="left"/>
      <w:pPr>
        <w:tabs>
          <w:tab w:val="left" w:pos="312"/>
        </w:tabs>
      </w:p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5BE338C7"/>
    <w:multiLevelType w:val="singleLevel"/>
    <w:tmpl w:val="5BE338C7"/>
    <w:lvl w:ilvl="0" w:tentative="0">
      <w:start w:val="1"/>
      <w:numFmt w:val="decimal"/>
      <w:lvlText w:val="%1."/>
      <w:lvlJc w:val="left"/>
      <w:pPr>
        <w:ind w:left="425" w:hanging="425"/>
      </w:pPr>
      <w:rPr>
        <w:rFonts w:hint="default"/>
      </w:rPr>
    </w:lvl>
  </w:abstractNum>
  <w:abstractNum w:abstractNumId="10">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678CFB24"/>
    <w:multiLevelType w:val="singleLevel"/>
    <w:tmpl w:val="678CFB24"/>
    <w:lvl w:ilvl="0" w:tentative="0">
      <w:start w:val="1"/>
      <w:numFmt w:val="chineseCounting"/>
      <w:suff w:val="nothing"/>
      <w:lvlText w:val="%1、"/>
      <w:lvlJc w:val="left"/>
      <w:rPr>
        <w:rFonts w:hint="eastAsia"/>
      </w:rPr>
    </w:lvl>
  </w:abstractNum>
  <w:num w:numId="1">
    <w:abstractNumId w:val="10"/>
  </w:num>
  <w:num w:numId="2">
    <w:abstractNumId w:val="6"/>
  </w:num>
  <w:num w:numId="3">
    <w:abstractNumId w:val="11"/>
  </w:num>
  <w:num w:numId="4">
    <w:abstractNumId w:val="8"/>
  </w:num>
  <w:num w:numId="5">
    <w:abstractNumId w:val="12"/>
  </w:num>
  <w:num w:numId="6">
    <w:abstractNumId w:val="1"/>
  </w:num>
  <w:num w:numId="7">
    <w:abstractNumId w:val="3"/>
  </w:num>
  <w:num w:numId="8">
    <w:abstractNumId w:val="4"/>
  </w:num>
  <w:num w:numId="9">
    <w:abstractNumId w:val="5"/>
  </w:num>
  <w:num w:numId="10">
    <w:abstractNumId w:val="0"/>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NDI5ZjJlNzM5NzZiOGE5NjRjZThhY2E5MDZiM2UifQ=="/>
  </w:docVars>
  <w:rsids>
    <w:rsidRoot w:val="685F2B0C"/>
    <w:rsid w:val="00030D77"/>
    <w:rsid w:val="0003666D"/>
    <w:rsid w:val="00060ABB"/>
    <w:rsid w:val="00063432"/>
    <w:rsid w:val="00071BA1"/>
    <w:rsid w:val="00074B53"/>
    <w:rsid w:val="000A2B60"/>
    <w:rsid w:val="001146EF"/>
    <w:rsid w:val="001368D3"/>
    <w:rsid w:val="00165EE9"/>
    <w:rsid w:val="00167749"/>
    <w:rsid w:val="001807BD"/>
    <w:rsid w:val="00186236"/>
    <w:rsid w:val="00191345"/>
    <w:rsid w:val="001B22D7"/>
    <w:rsid w:val="001B72B3"/>
    <w:rsid w:val="001D349E"/>
    <w:rsid w:val="001F5938"/>
    <w:rsid w:val="00245ACB"/>
    <w:rsid w:val="00261299"/>
    <w:rsid w:val="00267BC0"/>
    <w:rsid w:val="00281EF2"/>
    <w:rsid w:val="00291503"/>
    <w:rsid w:val="002A3D6E"/>
    <w:rsid w:val="002C1401"/>
    <w:rsid w:val="00315916"/>
    <w:rsid w:val="0034375D"/>
    <w:rsid w:val="00367026"/>
    <w:rsid w:val="0038056C"/>
    <w:rsid w:val="003E75DC"/>
    <w:rsid w:val="00401C4D"/>
    <w:rsid w:val="00474717"/>
    <w:rsid w:val="0049548B"/>
    <w:rsid w:val="004B3465"/>
    <w:rsid w:val="004D1BD8"/>
    <w:rsid w:val="004E77B0"/>
    <w:rsid w:val="00531726"/>
    <w:rsid w:val="00543A2B"/>
    <w:rsid w:val="00544F8C"/>
    <w:rsid w:val="005574FC"/>
    <w:rsid w:val="00577718"/>
    <w:rsid w:val="005D0DD1"/>
    <w:rsid w:val="00631A82"/>
    <w:rsid w:val="00667357"/>
    <w:rsid w:val="00694A39"/>
    <w:rsid w:val="006A549F"/>
    <w:rsid w:val="006A6AE7"/>
    <w:rsid w:val="006B39D2"/>
    <w:rsid w:val="006D0434"/>
    <w:rsid w:val="006D21B3"/>
    <w:rsid w:val="006D5C96"/>
    <w:rsid w:val="006F5672"/>
    <w:rsid w:val="007155D8"/>
    <w:rsid w:val="00736F7D"/>
    <w:rsid w:val="007477AD"/>
    <w:rsid w:val="00765AC2"/>
    <w:rsid w:val="00777E0A"/>
    <w:rsid w:val="007959E3"/>
    <w:rsid w:val="008248FA"/>
    <w:rsid w:val="00846C1F"/>
    <w:rsid w:val="00874B40"/>
    <w:rsid w:val="008B16BC"/>
    <w:rsid w:val="00905DA1"/>
    <w:rsid w:val="0091060D"/>
    <w:rsid w:val="009165EC"/>
    <w:rsid w:val="00954375"/>
    <w:rsid w:val="00961913"/>
    <w:rsid w:val="0098388D"/>
    <w:rsid w:val="00987EDA"/>
    <w:rsid w:val="009A5857"/>
    <w:rsid w:val="009D0047"/>
    <w:rsid w:val="009D46C4"/>
    <w:rsid w:val="009D6A9E"/>
    <w:rsid w:val="00A24AB5"/>
    <w:rsid w:val="00A5256C"/>
    <w:rsid w:val="00A85AC9"/>
    <w:rsid w:val="00A921FD"/>
    <w:rsid w:val="00AA0570"/>
    <w:rsid w:val="00AA503A"/>
    <w:rsid w:val="00AB072A"/>
    <w:rsid w:val="00AB49B7"/>
    <w:rsid w:val="00AE60B3"/>
    <w:rsid w:val="00AF4255"/>
    <w:rsid w:val="00B02D20"/>
    <w:rsid w:val="00B20DF2"/>
    <w:rsid w:val="00B34B47"/>
    <w:rsid w:val="00B63A18"/>
    <w:rsid w:val="00B91505"/>
    <w:rsid w:val="00B94FAB"/>
    <w:rsid w:val="00BE0BF0"/>
    <w:rsid w:val="00C061A0"/>
    <w:rsid w:val="00C2582C"/>
    <w:rsid w:val="00C44DAA"/>
    <w:rsid w:val="00C50B60"/>
    <w:rsid w:val="00C517AE"/>
    <w:rsid w:val="00C52A0D"/>
    <w:rsid w:val="00CA2C6C"/>
    <w:rsid w:val="00CA66AA"/>
    <w:rsid w:val="00CB7C61"/>
    <w:rsid w:val="00CC4C41"/>
    <w:rsid w:val="00CF2F92"/>
    <w:rsid w:val="00D0009A"/>
    <w:rsid w:val="00D14AD5"/>
    <w:rsid w:val="00D325EC"/>
    <w:rsid w:val="00D40771"/>
    <w:rsid w:val="00D81728"/>
    <w:rsid w:val="00D9461B"/>
    <w:rsid w:val="00DB1553"/>
    <w:rsid w:val="00DE438A"/>
    <w:rsid w:val="00E26B09"/>
    <w:rsid w:val="00E42018"/>
    <w:rsid w:val="00EC2635"/>
    <w:rsid w:val="00F24734"/>
    <w:rsid w:val="00F3521A"/>
    <w:rsid w:val="00F51311"/>
    <w:rsid w:val="00F9331C"/>
    <w:rsid w:val="00FC1E7F"/>
    <w:rsid w:val="00FC5C25"/>
    <w:rsid w:val="00FF7A94"/>
    <w:rsid w:val="010742D5"/>
    <w:rsid w:val="010F7B98"/>
    <w:rsid w:val="01270A4D"/>
    <w:rsid w:val="0156352C"/>
    <w:rsid w:val="017E2A82"/>
    <w:rsid w:val="01851778"/>
    <w:rsid w:val="01A729ED"/>
    <w:rsid w:val="01AE11E6"/>
    <w:rsid w:val="01B729F0"/>
    <w:rsid w:val="01C841FF"/>
    <w:rsid w:val="01E96BCD"/>
    <w:rsid w:val="01F53A09"/>
    <w:rsid w:val="01FB40D3"/>
    <w:rsid w:val="01FF1E15"/>
    <w:rsid w:val="02222883"/>
    <w:rsid w:val="022E6257"/>
    <w:rsid w:val="025739FF"/>
    <w:rsid w:val="026B3007"/>
    <w:rsid w:val="02A01370"/>
    <w:rsid w:val="02C62BA9"/>
    <w:rsid w:val="02C866AB"/>
    <w:rsid w:val="030A7540"/>
    <w:rsid w:val="03157E20"/>
    <w:rsid w:val="032D29B2"/>
    <w:rsid w:val="03401E8A"/>
    <w:rsid w:val="034C79A8"/>
    <w:rsid w:val="035717DD"/>
    <w:rsid w:val="035D3297"/>
    <w:rsid w:val="035E327D"/>
    <w:rsid w:val="036130ED"/>
    <w:rsid w:val="03624C71"/>
    <w:rsid w:val="037171B2"/>
    <w:rsid w:val="03720CB3"/>
    <w:rsid w:val="03723D7D"/>
    <w:rsid w:val="03991DF6"/>
    <w:rsid w:val="03A55E37"/>
    <w:rsid w:val="03CC3F79"/>
    <w:rsid w:val="03EA43FF"/>
    <w:rsid w:val="04071573"/>
    <w:rsid w:val="04172FFC"/>
    <w:rsid w:val="04357EE7"/>
    <w:rsid w:val="043E0AAC"/>
    <w:rsid w:val="044F2C90"/>
    <w:rsid w:val="045D72C7"/>
    <w:rsid w:val="04604D98"/>
    <w:rsid w:val="04762FE4"/>
    <w:rsid w:val="048361AE"/>
    <w:rsid w:val="048962DE"/>
    <w:rsid w:val="04C403D8"/>
    <w:rsid w:val="04DA625A"/>
    <w:rsid w:val="04EF476C"/>
    <w:rsid w:val="0528054A"/>
    <w:rsid w:val="05287815"/>
    <w:rsid w:val="052D2D41"/>
    <w:rsid w:val="0538232A"/>
    <w:rsid w:val="0552233D"/>
    <w:rsid w:val="05782C43"/>
    <w:rsid w:val="05903056"/>
    <w:rsid w:val="05A76A4C"/>
    <w:rsid w:val="05B01B1D"/>
    <w:rsid w:val="05D2486C"/>
    <w:rsid w:val="05E17C80"/>
    <w:rsid w:val="05E55725"/>
    <w:rsid w:val="05E5760D"/>
    <w:rsid w:val="06066F04"/>
    <w:rsid w:val="06134407"/>
    <w:rsid w:val="0639353C"/>
    <w:rsid w:val="06400C4E"/>
    <w:rsid w:val="06474E34"/>
    <w:rsid w:val="06484055"/>
    <w:rsid w:val="065949DD"/>
    <w:rsid w:val="065D35AE"/>
    <w:rsid w:val="06653EC4"/>
    <w:rsid w:val="06677F89"/>
    <w:rsid w:val="069114AA"/>
    <w:rsid w:val="06946922"/>
    <w:rsid w:val="0699402C"/>
    <w:rsid w:val="069C64C8"/>
    <w:rsid w:val="06A0112C"/>
    <w:rsid w:val="06A81BEC"/>
    <w:rsid w:val="06D27AF8"/>
    <w:rsid w:val="06DC60DB"/>
    <w:rsid w:val="06F37A6F"/>
    <w:rsid w:val="06F44F8B"/>
    <w:rsid w:val="06F84851"/>
    <w:rsid w:val="06FB0045"/>
    <w:rsid w:val="074B1659"/>
    <w:rsid w:val="077B362D"/>
    <w:rsid w:val="079A6E72"/>
    <w:rsid w:val="079C0106"/>
    <w:rsid w:val="079F3EE7"/>
    <w:rsid w:val="07AA1AB7"/>
    <w:rsid w:val="07DF5164"/>
    <w:rsid w:val="07E50580"/>
    <w:rsid w:val="07EE133F"/>
    <w:rsid w:val="08053EFD"/>
    <w:rsid w:val="08065B86"/>
    <w:rsid w:val="08274ACF"/>
    <w:rsid w:val="08310251"/>
    <w:rsid w:val="08397703"/>
    <w:rsid w:val="084703F0"/>
    <w:rsid w:val="086230FE"/>
    <w:rsid w:val="08696EDC"/>
    <w:rsid w:val="08705B4A"/>
    <w:rsid w:val="087A7753"/>
    <w:rsid w:val="08814CE3"/>
    <w:rsid w:val="088766C0"/>
    <w:rsid w:val="08884C10"/>
    <w:rsid w:val="0889068B"/>
    <w:rsid w:val="08986544"/>
    <w:rsid w:val="08A92ADB"/>
    <w:rsid w:val="08BB6846"/>
    <w:rsid w:val="08D55A74"/>
    <w:rsid w:val="08DB07BA"/>
    <w:rsid w:val="08DC3175"/>
    <w:rsid w:val="08E052CE"/>
    <w:rsid w:val="08FB2C0B"/>
    <w:rsid w:val="08FD3C48"/>
    <w:rsid w:val="08FF6B9F"/>
    <w:rsid w:val="09161D47"/>
    <w:rsid w:val="091A2489"/>
    <w:rsid w:val="093D3ABC"/>
    <w:rsid w:val="096A04BC"/>
    <w:rsid w:val="096E7880"/>
    <w:rsid w:val="09A80FE4"/>
    <w:rsid w:val="09B434E5"/>
    <w:rsid w:val="09BC683E"/>
    <w:rsid w:val="09CE19BC"/>
    <w:rsid w:val="09D05E45"/>
    <w:rsid w:val="09E56383"/>
    <w:rsid w:val="09E70A54"/>
    <w:rsid w:val="09E84CCD"/>
    <w:rsid w:val="0A051115"/>
    <w:rsid w:val="0A066A92"/>
    <w:rsid w:val="0A1120E2"/>
    <w:rsid w:val="0A1610AD"/>
    <w:rsid w:val="0A375EC4"/>
    <w:rsid w:val="0A3A5C5D"/>
    <w:rsid w:val="0A424F95"/>
    <w:rsid w:val="0A516BF8"/>
    <w:rsid w:val="0A586566"/>
    <w:rsid w:val="0A71587A"/>
    <w:rsid w:val="0A8528D5"/>
    <w:rsid w:val="0A8A0A3A"/>
    <w:rsid w:val="0A9D666F"/>
    <w:rsid w:val="0AB52BD8"/>
    <w:rsid w:val="0ABF65E6"/>
    <w:rsid w:val="0AD56F1F"/>
    <w:rsid w:val="0AEA3C8C"/>
    <w:rsid w:val="0B1E0CF0"/>
    <w:rsid w:val="0B1E2894"/>
    <w:rsid w:val="0B3A637F"/>
    <w:rsid w:val="0B6902FF"/>
    <w:rsid w:val="0B70168E"/>
    <w:rsid w:val="0B7078E0"/>
    <w:rsid w:val="0B8769D7"/>
    <w:rsid w:val="0B980BE5"/>
    <w:rsid w:val="0BA23811"/>
    <w:rsid w:val="0BCD2517"/>
    <w:rsid w:val="0BCE1370"/>
    <w:rsid w:val="0BCF240A"/>
    <w:rsid w:val="0BD84E5C"/>
    <w:rsid w:val="0BE34CD8"/>
    <w:rsid w:val="0BE43E2A"/>
    <w:rsid w:val="0BE83010"/>
    <w:rsid w:val="0BF4406D"/>
    <w:rsid w:val="0BF47D4E"/>
    <w:rsid w:val="0BF86799"/>
    <w:rsid w:val="0C060244"/>
    <w:rsid w:val="0C2D3ABF"/>
    <w:rsid w:val="0C377F1F"/>
    <w:rsid w:val="0C474AE5"/>
    <w:rsid w:val="0C516743"/>
    <w:rsid w:val="0C5D1BDB"/>
    <w:rsid w:val="0C711B61"/>
    <w:rsid w:val="0C7E2237"/>
    <w:rsid w:val="0C84658A"/>
    <w:rsid w:val="0C851169"/>
    <w:rsid w:val="0C8F1FE8"/>
    <w:rsid w:val="0CA34118"/>
    <w:rsid w:val="0CA758F8"/>
    <w:rsid w:val="0CA84493"/>
    <w:rsid w:val="0CCD457A"/>
    <w:rsid w:val="0CE73BD2"/>
    <w:rsid w:val="0CED2959"/>
    <w:rsid w:val="0CEF3BF8"/>
    <w:rsid w:val="0D000761"/>
    <w:rsid w:val="0D067D46"/>
    <w:rsid w:val="0D3F7F2E"/>
    <w:rsid w:val="0D5D20E6"/>
    <w:rsid w:val="0D6214AA"/>
    <w:rsid w:val="0D6344EC"/>
    <w:rsid w:val="0D701E19"/>
    <w:rsid w:val="0D705EC6"/>
    <w:rsid w:val="0D7446FA"/>
    <w:rsid w:val="0D870C14"/>
    <w:rsid w:val="0DB14507"/>
    <w:rsid w:val="0DB757B9"/>
    <w:rsid w:val="0DE545F3"/>
    <w:rsid w:val="0DE7555E"/>
    <w:rsid w:val="0E0316BF"/>
    <w:rsid w:val="0E06452B"/>
    <w:rsid w:val="0E072513"/>
    <w:rsid w:val="0E4B1F3E"/>
    <w:rsid w:val="0E636A64"/>
    <w:rsid w:val="0E981627"/>
    <w:rsid w:val="0F0D0D2C"/>
    <w:rsid w:val="0F3376FF"/>
    <w:rsid w:val="0F385060"/>
    <w:rsid w:val="0F486661"/>
    <w:rsid w:val="0F58781F"/>
    <w:rsid w:val="0F5D7625"/>
    <w:rsid w:val="0F6147A2"/>
    <w:rsid w:val="0F86061B"/>
    <w:rsid w:val="0F8C0A60"/>
    <w:rsid w:val="0F914278"/>
    <w:rsid w:val="0FC27645"/>
    <w:rsid w:val="0FD4645C"/>
    <w:rsid w:val="0FF46D31"/>
    <w:rsid w:val="1007199F"/>
    <w:rsid w:val="101A3630"/>
    <w:rsid w:val="102C199B"/>
    <w:rsid w:val="10480E2B"/>
    <w:rsid w:val="104D01F0"/>
    <w:rsid w:val="105576A8"/>
    <w:rsid w:val="106043C7"/>
    <w:rsid w:val="10626182"/>
    <w:rsid w:val="106612B1"/>
    <w:rsid w:val="10BE1B05"/>
    <w:rsid w:val="10C02B8A"/>
    <w:rsid w:val="10C64B9C"/>
    <w:rsid w:val="10CB7C05"/>
    <w:rsid w:val="10CF3933"/>
    <w:rsid w:val="10FD1FE7"/>
    <w:rsid w:val="11344EBE"/>
    <w:rsid w:val="115B5C4F"/>
    <w:rsid w:val="117C20D6"/>
    <w:rsid w:val="118A244C"/>
    <w:rsid w:val="118F65E6"/>
    <w:rsid w:val="119A7465"/>
    <w:rsid w:val="11A2124C"/>
    <w:rsid w:val="11A2456B"/>
    <w:rsid w:val="11C20C82"/>
    <w:rsid w:val="11C8536C"/>
    <w:rsid w:val="11D0460B"/>
    <w:rsid w:val="11DE5C79"/>
    <w:rsid w:val="11E15093"/>
    <w:rsid w:val="12101447"/>
    <w:rsid w:val="12215961"/>
    <w:rsid w:val="123C2B66"/>
    <w:rsid w:val="125735A8"/>
    <w:rsid w:val="125F1817"/>
    <w:rsid w:val="12631F4C"/>
    <w:rsid w:val="128D04EC"/>
    <w:rsid w:val="12AA2320"/>
    <w:rsid w:val="12DB53B1"/>
    <w:rsid w:val="12DD1CFF"/>
    <w:rsid w:val="12E81B94"/>
    <w:rsid w:val="12EC0194"/>
    <w:rsid w:val="13257C63"/>
    <w:rsid w:val="133707C2"/>
    <w:rsid w:val="13441C72"/>
    <w:rsid w:val="134C77A5"/>
    <w:rsid w:val="13731B39"/>
    <w:rsid w:val="13732205"/>
    <w:rsid w:val="137B32C6"/>
    <w:rsid w:val="137F0CE3"/>
    <w:rsid w:val="13BEBB51"/>
    <w:rsid w:val="13C20EF5"/>
    <w:rsid w:val="13C30E6E"/>
    <w:rsid w:val="13F310AE"/>
    <w:rsid w:val="140B464A"/>
    <w:rsid w:val="140C2170"/>
    <w:rsid w:val="141B13D5"/>
    <w:rsid w:val="141B23B3"/>
    <w:rsid w:val="141C741E"/>
    <w:rsid w:val="14234B06"/>
    <w:rsid w:val="145558C5"/>
    <w:rsid w:val="149D3DC9"/>
    <w:rsid w:val="149E1778"/>
    <w:rsid w:val="14AD4839"/>
    <w:rsid w:val="14BB18F8"/>
    <w:rsid w:val="14D52A08"/>
    <w:rsid w:val="14E135FC"/>
    <w:rsid w:val="14EA3450"/>
    <w:rsid w:val="14F767B6"/>
    <w:rsid w:val="14F905C9"/>
    <w:rsid w:val="151632A6"/>
    <w:rsid w:val="15287486"/>
    <w:rsid w:val="15431BC1"/>
    <w:rsid w:val="15840A84"/>
    <w:rsid w:val="15AF033B"/>
    <w:rsid w:val="15C012BB"/>
    <w:rsid w:val="16031113"/>
    <w:rsid w:val="160C1329"/>
    <w:rsid w:val="16332D75"/>
    <w:rsid w:val="164976AB"/>
    <w:rsid w:val="16502A53"/>
    <w:rsid w:val="165A18B8"/>
    <w:rsid w:val="16725D01"/>
    <w:rsid w:val="16777B9F"/>
    <w:rsid w:val="168F227C"/>
    <w:rsid w:val="169A575C"/>
    <w:rsid w:val="16AD5C51"/>
    <w:rsid w:val="16C11894"/>
    <w:rsid w:val="16C377D3"/>
    <w:rsid w:val="171242FF"/>
    <w:rsid w:val="171F0861"/>
    <w:rsid w:val="1731374B"/>
    <w:rsid w:val="173B1F0E"/>
    <w:rsid w:val="173D243C"/>
    <w:rsid w:val="17504FE0"/>
    <w:rsid w:val="175340DC"/>
    <w:rsid w:val="17534ECF"/>
    <w:rsid w:val="176522C3"/>
    <w:rsid w:val="179F7C4F"/>
    <w:rsid w:val="17C92852"/>
    <w:rsid w:val="17DC7BF0"/>
    <w:rsid w:val="17F21A0E"/>
    <w:rsid w:val="180053F0"/>
    <w:rsid w:val="181011F1"/>
    <w:rsid w:val="185F5F75"/>
    <w:rsid w:val="188227EF"/>
    <w:rsid w:val="188A30D0"/>
    <w:rsid w:val="189220EE"/>
    <w:rsid w:val="189E4B47"/>
    <w:rsid w:val="18DA0CD1"/>
    <w:rsid w:val="18E36CFC"/>
    <w:rsid w:val="18E65685"/>
    <w:rsid w:val="19000C71"/>
    <w:rsid w:val="192A06DB"/>
    <w:rsid w:val="193028F8"/>
    <w:rsid w:val="19550115"/>
    <w:rsid w:val="195C5947"/>
    <w:rsid w:val="19670574"/>
    <w:rsid w:val="19800DAF"/>
    <w:rsid w:val="198218DD"/>
    <w:rsid w:val="198D1B84"/>
    <w:rsid w:val="198E4D52"/>
    <w:rsid w:val="19923F06"/>
    <w:rsid w:val="199D7D4E"/>
    <w:rsid w:val="19A5468A"/>
    <w:rsid w:val="19AF2729"/>
    <w:rsid w:val="19BC1F42"/>
    <w:rsid w:val="19C77265"/>
    <w:rsid w:val="19E51688"/>
    <w:rsid w:val="19EA6AAF"/>
    <w:rsid w:val="19EE2A8B"/>
    <w:rsid w:val="19EE41FA"/>
    <w:rsid w:val="1A1830B1"/>
    <w:rsid w:val="1A1A3838"/>
    <w:rsid w:val="1A295829"/>
    <w:rsid w:val="1A2F4589"/>
    <w:rsid w:val="1A4C1D4A"/>
    <w:rsid w:val="1A587B66"/>
    <w:rsid w:val="1A5A6066"/>
    <w:rsid w:val="1A5B78E2"/>
    <w:rsid w:val="1A647FAE"/>
    <w:rsid w:val="1A777345"/>
    <w:rsid w:val="1A813E1F"/>
    <w:rsid w:val="1A8328FC"/>
    <w:rsid w:val="1A8357FC"/>
    <w:rsid w:val="1A9806EB"/>
    <w:rsid w:val="1A9D6217"/>
    <w:rsid w:val="1A9F2503"/>
    <w:rsid w:val="1AA3486A"/>
    <w:rsid w:val="1ABC5181"/>
    <w:rsid w:val="1ACE692C"/>
    <w:rsid w:val="1AE33064"/>
    <w:rsid w:val="1AEB6F83"/>
    <w:rsid w:val="1AF357C2"/>
    <w:rsid w:val="1B3B15AA"/>
    <w:rsid w:val="1B6A3FBF"/>
    <w:rsid w:val="1B6F5412"/>
    <w:rsid w:val="1B8C6B7B"/>
    <w:rsid w:val="1B9E29B4"/>
    <w:rsid w:val="1BBF65FB"/>
    <w:rsid w:val="1BC2281C"/>
    <w:rsid w:val="1BF657FB"/>
    <w:rsid w:val="1BFF8B03"/>
    <w:rsid w:val="1C0320AA"/>
    <w:rsid w:val="1C374515"/>
    <w:rsid w:val="1C4235A6"/>
    <w:rsid w:val="1C4306F9"/>
    <w:rsid w:val="1C4F222F"/>
    <w:rsid w:val="1CA4277D"/>
    <w:rsid w:val="1CA86A15"/>
    <w:rsid w:val="1CBB4247"/>
    <w:rsid w:val="1CE617B0"/>
    <w:rsid w:val="1CE95744"/>
    <w:rsid w:val="1CFA7EEF"/>
    <w:rsid w:val="1CFB1146"/>
    <w:rsid w:val="1D1338EC"/>
    <w:rsid w:val="1D37062D"/>
    <w:rsid w:val="1D3B199E"/>
    <w:rsid w:val="1D5B6D2E"/>
    <w:rsid w:val="1D70376F"/>
    <w:rsid w:val="1DC84F72"/>
    <w:rsid w:val="1DEB1048"/>
    <w:rsid w:val="1DEC270F"/>
    <w:rsid w:val="1DF10281"/>
    <w:rsid w:val="1E0672A1"/>
    <w:rsid w:val="1E0D3D46"/>
    <w:rsid w:val="1E331E3B"/>
    <w:rsid w:val="1E370C0B"/>
    <w:rsid w:val="1E480BFF"/>
    <w:rsid w:val="1E4E212D"/>
    <w:rsid w:val="1E561B49"/>
    <w:rsid w:val="1E5A2895"/>
    <w:rsid w:val="1E5B5B74"/>
    <w:rsid w:val="1E847B39"/>
    <w:rsid w:val="1E860C88"/>
    <w:rsid w:val="1E8632EE"/>
    <w:rsid w:val="1E9F0ACC"/>
    <w:rsid w:val="1EAD27E8"/>
    <w:rsid w:val="1EC02505"/>
    <w:rsid w:val="1EC35424"/>
    <w:rsid w:val="1ED462A6"/>
    <w:rsid w:val="1ED734FA"/>
    <w:rsid w:val="1EDB21B2"/>
    <w:rsid w:val="1EDD4E34"/>
    <w:rsid w:val="1EE21D29"/>
    <w:rsid w:val="1EE72005"/>
    <w:rsid w:val="1F066139"/>
    <w:rsid w:val="1F2F246F"/>
    <w:rsid w:val="1F325180"/>
    <w:rsid w:val="1F3E1D5D"/>
    <w:rsid w:val="1F4153C3"/>
    <w:rsid w:val="1F6E3177"/>
    <w:rsid w:val="1F6F04BA"/>
    <w:rsid w:val="1F8129BD"/>
    <w:rsid w:val="1FF57F5C"/>
    <w:rsid w:val="20027E74"/>
    <w:rsid w:val="2024650C"/>
    <w:rsid w:val="203A4024"/>
    <w:rsid w:val="20436F2E"/>
    <w:rsid w:val="204663FA"/>
    <w:rsid w:val="20622EA9"/>
    <w:rsid w:val="20624FA2"/>
    <w:rsid w:val="206A1137"/>
    <w:rsid w:val="20712D17"/>
    <w:rsid w:val="207F2647"/>
    <w:rsid w:val="20835E3C"/>
    <w:rsid w:val="209D0D1F"/>
    <w:rsid w:val="20AA1825"/>
    <w:rsid w:val="20B87907"/>
    <w:rsid w:val="20BB1EB1"/>
    <w:rsid w:val="20C71318"/>
    <w:rsid w:val="20DC38FA"/>
    <w:rsid w:val="21144C23"/>
    <w:rsid w:val="212A75E7"/>
    <w:rsid w:val="213D7E0C"/>
    <w:rsid w:val="214E67BA"/>
    <w:rsid w:val="21593740"/>
    <w:rsid w:val="215C6880"/>
    <w:rsid w:val="2163612C"/>
    <w:rsid w:val="217039C6"/>
    <w:rsid w:val="21754AF5"/>
    <w:rsid w:val="217E7700"/>
    <w:rsid w:val="218158E0"/>
    <w:rsid w:val="218F0080"/>
    <w:rsid w:val="21BA53F5"/>
    <w:rsid w:val="21BE46BF"/>
    <w:rsid w:val="21E169EA"/>
    <w:rsid w:val="22001566"/>
    <w:rsid w:val="220B781D"/>
    <w:rsid w:val="2220525E"/>
    <w:rsid w:val="22401962"/>
    <w:rsid w:val="224449F5"/>
    <w:rsid w:val="225D16C1"/>
    <w:rsid w:val="2266010D"/>
    <w:rsid w:val="226E674C"/>
    <w:rsid w:val="22712A0D"/>
    <w:rsid w:val="22734646"/>
    <w:rsid w:val="22835CF3"/>
    <w:rsid w:val="229E2B2D"/>
    <w:rsid w:val="22B440FE"/>
    <w:rsid w:val="22B609EC"/>
    <w:rsid w:val="22C23296"/>
    <w:rsid w:val="22CF4727"/>
    <w:rsid w:val="22E35CB6"/>
    <w:rsid w:val="2322375E"/>
    <w:rsid w:val="23280561"/>
    <w:rsid w:val="2330019D"/>
    <w:rsid w:val="235E2799"/>
    <w:rsid w:val="23666663"/>
    <w:rsid w:val="23693289"/>
    <w:rsid w:val="23795972"/>
    <w:rsid w:val="238241FC"/>
    <w:rsid w:val="239147E1"/>
    <w:rsid w:val="23931F66"/>
    <w:rsid w:val="23BB34F7"/>
    <w:rsid w:val="23CB333E"/>
    <w:rsid w:val="23F91B39"/>
    <w:rsid w:val="241913FA"/>
    <w:rsid w:val="242E5E97"/>
    <w:rsid w:val="243A5F83"/>
    <w:rsid w:val="244702BD"/>
    <w:rsid w:val="244B0A92"/>
    <w:rsid w:val="246B4C91"/>
    <w:rsid w:val="247E0687"/>
    <w:rsid w:val="24A20628"/>
    <w:rsid w:val="24AF2BDA"/>
    <w:rsid w:val="24B45D14"/>
    <w:rsid w:val="24D32F62"/>
    <w:rsid w:val="24DD793C"/>
    <w:rsid w:val="24FB4266"/>
    <w:rsid w:val="24FE0E05"/>
    <w:rsid w:val="25171BA0"/>
    <w:rsid w:val="25184E18"/>
    <w:rsid w:val="251B18C1"/>
    <w:rsid w:val="25222461"/>
    <w:rsid w:val="25272322"/>
    <w:rsid w:val="253D03DB"/>
    <w:rsid w:val="25501E67"/>
    <w:rsid w:val="25524FA6"/>
    <w:rsid w:val="25532EC3"/>
    <w:rsid w:val="257162D7"/>
    <w:rsid w:val="25822292"/>
    <w:rsid w:val="25925077"/>
    <w:rsid w:val="25AF3989"/>
    <w:rsid w:val="25B24E51"/>
    <w:rsid w:val="25C73339"/>
    <w:rsid w:val="25C86149"/>
    <w:rsid w:val="25D62822"/>
    <w:rsid w:val="25F16B68"/>
    <w:rsid w:val="260663DB"/>
    <w:rsid w:val="260779C2"/>
    <w:rsid w:val="26546373"/>
    <w:rsid w:val="265C6F87"/>
    <w:rsid w:val="266A2778"/>
    <w:rsid w:val="26841C6E"/>
    <w:rsid w:val="26934343"/>
    <w:rsid w:val="26B424FB"/>
    <w:rsid w:val="26B73D93"/>
    <w:rsid w:val="26E62133"/>
    <w:rsid w:val="26FB00EF"/>
    <w:rsid w:val="27221F7E"/>
    <w:rsid w:val="2759C18C"/>
    <w:rsid w:val="276500BD"/>
    <w:rsid w:val="27750300"/>
    <w:rsid w:val="277F68D2"/>
    <w:rsid w:val="27870FB2"/>
    <w:rsid w:val="278F0AAA"/>
    <w:rsid w:val="27930786"/>
    <w:rsid w:val="279462AC"/>
    <w:rsid w:val="27B84345"/>
    <w:rsid w:val="27BE1B87"/>
    <w:rsid w:val="27C941A8"/>
    <w:rsid w:val="27CB7A47"/>
    <w:rsid w:val="27CF31D6"/>
    <w:rsid w:val="27DB6D77"/>
    <w:rsid w:val="27E53B63"/>
    <w:rsid w:val="27F52A10"/>
    <w:rsid w:val="280E4470"/>
    <w:rsid w:val="283E405F"/>
    <w:rsid w:val="284E0B51"/>
    <w:rsid w:val="28887BBF"/>
    <w:rsid w:val="28D252DE"/>
    <w:rsid w:val="28D9203E"/>
    <w:rsid w:val="28EF7C3E"/>
    <w:rsid w:val="291853E7"/>
    <w:rsid w:val="29361D11"/>
    <w:rsid w:val="295E1181"/>
    <w:rsid w:val="298330BD"/>
    <w:rsid w:val="2987256D"/>
    <w:rsid w:val="29A44ECD"/>
    <w:rsid w:val="29B00B02"/>
    <w:rsid w:val="29B661A7"/>
    <w:rsid w:val="29DB1483"/>
    <w:rsid w:val="29DC3277"/>
    <w:rsid w:val="29EB0C54"/>
    <w:rsid w:val="29EB58A7"/>
    <w:rsid w:val="29FA460F"/>
    <w:rsid w:val="2A0B6D48"/>
    <w:rsid w:val="2A2F2642"/>
    <w:rsid w:val="2A397DF9"/>
    <w:rsid w:val="2A663F30"/>
    <w:rsid w:val="2A7C5019"/>
    <w:rsid w:val="2A8E3410"/>
    <w:rsid w:val="2ABE5B1A"/>
    <w:rsid w:val="2AC017A8"/>
    <w:rsid w:val="2AC62C21"/>
    <w:rsid w:val="2ADA48C5"/>
    <w:rsid w:val="2B0025D7"/>
    <w:rsid w:val="2B127E2F"/>
    <w:rsid w:val="2B147E30"/>
    <w:rsid w:val="2B3677A4"/>
    <w:rsid w:val="2B3B360F"/>
    <w:rsid w:val="2B512E32"/>
    <w:rsid w:val="2B6366C1"/>
    <w:rsid w:val="2B7F5D7B"/>
    <w:rsid w:val="2B9073EB"/>
    <w:rsid w:val="2BAD682D"/>
    <w:rsid w:val="2BC41873"/>
    <w:rsid w:val="2BD31A99"/>
    <w:rsid w:val="2BD63337"/>
    <w:rsid w:val="2BEE5A9C"/>
    <w:rsid w:val="2C1A76C8"/>
    <w:rsid w:val="2C4E1120"/>
    <w:rsid w:val="2C6B41B7"/>
    <w:rsid w:val="2CAF7AE9"/>
    <w:rsid w:val="2CB550EC"/>
    <w:rsid w:val="2CB76619"/>
    <w:rsid w:val="2CF717B7"/>
    <w:rsid w:val="2CF947D9"/>
    <w:rsid w:val="2CFA06CC"/>
    <w:rsid w:val="2D0068BE"/>
    <w:rsid w:val="2D1B36F8"/>
    <w:rsid w:val="2D1C121E"/>
    <w:rsid w:val="2D2325AC"/>
    <w:rsid w:val="2D376058"/>
    <w:rsid w:val="2D3F090C"/>
    <w:rsid w:val="2D473273"/>
    <w:rsid w:val="2D564730"/>
    <w:rsid w:val="2D6409BA"/>
    <w:rsid w:val="2D8167C0"/>
    <w:rsid w:val="2D855015"/>
    <w:rsid w:val="2D8873D6"/>
    <w:rsid w:val="2D9C1D44"/>
    <w:rsid w:val="2DAB174B"/>
    <w:rsid w:val="2DAC3053"/>
    <w:rsid w:val="2DAE631A"/>
    <w:rsid w:val="2DB40F04"/>
    <w:rsid w:val="2DB55317"/>
    <w:rsid w:val="2DCA0C7A"/>
    <w:rsid w:val="2DD04A2C"/>
    <w:rsid w:val="2DE735DA"/>
    <w:rsid w:val="2E073EDF"/>
    <w:rsid w:val="2E1A2D69"/>
    <w:rsid w:val="2E1C2312"/>
    <w:rsid w:val="2E1E4B22"/>
    <w:rsid w:val="2E617376"/>
    <w:rsid w:val="2E8E7EF9"/>
    <w:rsid w:val="2ED13170"/>
    <w:rsid w:val="2EFBB757"/>
    <w:rsid w:val="2F011E82"/>
    <w:rsid w:val="2F3017FB"/>
    <w:rsid w:val="2F415E64"/>
    <w:rsid w:val="2F4800A8"/>
    <w:rsid w:val="2F60404A"/>
    <w:rsid w:val="2F6858EF"/>
    <w:rsid w:val="2F7674B4"/>
    <w:rsid w:val="2FA86D99"/>
    <w:rsid w:val="2FC51659"/>
    <w:rsid w:val="2FCB2DE8"/>
    <w:rsid w:val="2FCD33A1"/>
    <w:rsid w:val="2FFD0E93"/>
    <w:rsid w:val="30082C17"/>
    <w:rsid w:val="301A6B35"/>
    <w:rsid w:val="30224D9D"/>
    <w:rsid w:val="30385048"/>
    <w:rsid w:val="30400DE6"/>
    <w:rsid w:val="3046030C"/>
    <w:rsid w:val="30577166"/>
    <w:rsid w:val="305D4027"/>
    <w:rsid w:val="30703D5A"/>
    <w:rsid w:val="30A8450A"/>
    <w:rsid w:val="30AD7887"/>
    <w:rsid w:val="30B147B2"/>
    <w:rsid w:val="30CB0F91"/>
    <w:rsid w:val="30FC55EE"/>
    <w:rsid w:val="30FE64F4"/>
    <w:rsid w:val="31046251"/>
    <w:rsid w:val="310D00D7"/>
    <w:rsid w:val="31262D83"/>
    <w:rsid w:val="31496090"/>
    <w:rsid w:val="314A5A0E"/>
    <w:rsid w:val="314B0324"/>
    <w:rsid w:val="31682139"/>
    <w:rsid w:val="31857392"/>
    <w:rsid w:val="319957F6"/>
    <w:rsid w:val="31C036D0"/>
    <w:rsid w:val="31C90302"/>
    <w:rsid w:val="31D420C7"/>
    <w:rsid w:val="31D953B1"/>
    <w:rsid w:val="31EC1741"/>
    <w:rsid w:val="31EF6CF0"/>
    <w:rsid w:val="31F7619B"/>
    <w:rsid w:val="321F0CAE"/>
    <w:rsid w:val="321F3505"/>
    <w:rsid w:val="322B0318"/>
    <w:rsid w:val="32494369"/>
    <w:rsid w:val="324C0B81"/>
    <w:rsid w:val="32517D1E"/>
    <w:rsid w:val="326E42CA"/>
    <w:rsid w:val="329B0438"/>
    <w:rsid w:val="32B63AAA"/>
    <w:rsid w:val="32DC6B74"/>
    <w:rsid w:val="33091096"/>
    <w:rsid w:val="331B7B37"/>
    <w:rsid w:val="33232830"/>
    <w:rsid w:val="3341533E"/>
    <w:rsid w:val="33596D28"/>
    <w:rsid w:val="3367545F"/>
    <w:rsid w:val="33843CA1"/>
    <w:rsid w:val="33C33478"/>
    <w:rsid w:val="33D20888"/>
    <w:rsid w:val="340053F5"/>
    <w:rsid w:val="342C7F98"/>
    <w:rsid w:val="343926B5"/>
    <w:rsid w:val="3443530F"/>
    <w:rsid w:val="344D764F"/>
    <w:rsid w:val="3454129D"/>
    <w:rsid w:val="345614B9"/>
    <w:rsid w:val="34645984"/>
    <w:rsid w:val="34690455"/>
    <w:rsid w:val="349E076A"/>
    <w:rsid w:val="34AA1765"/>
    <w:rsid w:val="34C86852"/>
    <w:rsid w:val="34D7618A"/>
    <w:rsid w:val="34FE589B"/>
    <w:rsid w:val="3529493E"/>
    <w:rsid w:val="35330B48"/>
    <w:rsid w:val="353B29E7"/>
    <w:rsid w:val="354632DC"/>
    <w:rsid w:val="355D4407"/>
    <w:rsid w:val="3562042D"/>
    <w:rsid w:val="35850AE6"/>
    <w:rsid w:val="35A74497"/>
    <w:rsid w:val="35A74E2B"/>
    <w:rsid w:val="35A94199"/>
    <w:rsid w:val="35B05630"/>
    <w:rsid w:val="35C33EC5"/>
    <w:rsid w:val="35C81BD5"/>
    <w:rsid w:val="35CF6801"/>
    <w:rsid w:val="35DE1818"/>
    <w:rsid w:val="35EB79DF"/>
    <w:rsid w:val="35ED404E"/>
    <w:rsid w:val="36140CE4"/>
    <w:rsid w:val="36243C2B"/>
    <w:rsid w:val="36475152"/>
    <w:rsid w:val="365674EF"/>
    <w:rsid w:val="36635BF2"/>
    <w:rsid w:val="366E5884"/>
    <w:rsid w:val="367134DE"/>
    <w:rsid w:val="36787E34"/>
    <w:rsid w:val="3692435D"/>
    <w:rsid w:val="36D16DB7"/>
    <w:rsid w:val="36EA5EE9"/>
    <w:rsid w:val="36FC06E4"/>
    <w:rsid w:val="370B0055"/>
    <w:rsid w:val="37152F66"/>
    <w:rsid w:val="374976F8"/>
    <w:rsid w:val="37533A9C"/>
    <w:rsid w:val="377F2AD5"/>
    <w:rsid w:val="37821544"/>
    <w:rsid w:val="3787676D"/>
    <w:rsid w:val="37953793"/>
    <w:rsid w:val="37977E1F"/>
    <w:rsid w:val="37A53093"/>
    <w:rsid w:val="37E702EC"/>
    <w:rsid w:val="381933A8"/>
    <w:rsid w:val="384A4E91"/>
    <w:rsid w:val="38727414"/>
    <w:rsid w:val="38AF4648"/>
    <w:rsid w:val="38B3392D"/>
    <w:rsid w:val="38B37C06"/>
    <w:rsid w:val="38CF5396"/>
    <w:rsid w:val="38E50A97"/>
    <w:rsid w:val="38EC5F48"/>
    <w:rsid w:val="38F117B0"/>
    <w:rsid w:val="390A4620"/>
    <w:rsid w:val="391E370A"/>
    <w:rsid w:val="392E6561"/>
    <w:rsid w:val="392F5095"/>
    <w:rsid w:val="393C7ED6"/>
    <w:rsid w:val="39465433"/>
    <w:rsid w:val="39581B4E"/>
    <w:rsid w:val="395B6912"/>
    <w:rsid w:val="396271DB"/>
    <w:rsid w:val="39A56F77"/>
    <w:rsid w:val="39A849EE"/>
    <w:rsid w:val="39AA6790"/>
    <w:rsid w:val="39BE4A11"/>
    <w:rsid w:val="39BF18AF"/>
    <w:rsid w:val="39E60BE9"/>
    <w:rsid w:val="39FE23D7"/>
    <w:rsid w:val="3A27520A"/>
    <w:rsid w:val="3A2B0CF2"/>
    <w:rsid w:val="3A3F6C87"/>
    <w:rsid w:val="3A40527C"/>
    <w:rsid w:val="3A465FD4"/>
    <w:rsid w:val="3A6B7341"/>
    <w:rsid w:val="3A956A72"/>
    <w:rsid w:val="3AB26D1E"/>
    <w:rsid w:val="3AD70862"/>
    <w:rsid w:val="3AE76311"/>
    <w:rsid w:val="3AEB2C20"/>
    <w:rsid w:val="3AED5FA8"/>
    <w:rsid w:val="3AF15A98"/>
    <w:rsid w:val="3B1109C9"/>
    <w:rsid w:val="3B2552D7"/>
    <w:rsid w:val="3B2D45F6"/>
    <w:rsid w:val="3B3F7D03"/>
    <w:rsid w:val="3B820DE6"/>
    <w:rsid w:val="3B970D6B"/>
    <w:rsid w:val="3BC92571"/>
    <w:rsid w:val="3BD3519D"/>
    <w:rsid w:val="3BDA56A8"/>
    <w:rsid w:val="3BE51125"/>
    <w:rsid w:val="3BE90506"/>
    <w:rsid w:val="3BEB6832"/>
    <w:rsid w:val="3BEE0229"/>
    <w:rsid w:val="3BF178CC"/>
    <w:rsid w:val="3BFA2E9E"/>
    <w:rsid w:val="3BFBB38C"/>
    <w:rsid w:val="3C0637C5"/>
    <w:rsid w:val="3C1A101E"/>
    <w:rsid w:val="3C285182"/>
    <w:rsid w:val="3C40766B"/>
    <w:rsid w:val="3C476B61"/>
    <w:rsid w:val="3C583A62"/>
    <w:rsid w:val="3C5C5193"/>
    <w:rsid w:val="3C813EBD"/>
    <w:rsid w:val="3C925C0E"/>
    <w:rsid w:val="3CA24375"/>
    <w:rsid w:val="3CB702EA"/>
    <w:rsid w:val="3CBD35C8"/>
    <w:rsid w:val="3CC24029"/>
    <w:rsid w:val="3CCF0F73"/>
    <w:rsid w:val="3CDC62D4"/>
    <w:rsid w:val="3CE437F4"/>
    <w:rsid w:val="3CEB6517"/>
    <w:rsid w:val="3D386985"/>
    <w:rsid w:val="3D3906B1"/>
    <w:rsid w:val="3D584E9B"/>
    <w:rsid w:val="3D7F382F"/>
    <w:rsid w:val="3D880E45"/>
    <w:rsid w:val="3D9C69C1"/>
    <w:rsid w:val="3DA0424A"/>
    <w:rsid w:val="3DA419D7"/>
    <w:rsid w:val="3DAE1A1E"/>
    <w:rsid w:val="3DDA6370"/>
    <w:rsid w:val="3DDD2C1B"/>
    <w:rsid w:val="3DE115FA"/>
    <w:rsid w:val="3DFF5060"/>
    <w:rsid w:val="3E0D0E3B"/>
    <w:rsid w:val="3E136870"/>
    <w:rsid w:val="3E5D5F3B"/>
    <w:rsid w:val="3E615282"/>
    <w:rsid w:val="3E8429B9"/>
    <w:rsid w:val="3E886F46"/>
    <w:rsid w:val="3EBE7D18"/>
    <w:rsid w:val="3ECC547A"/>
    <w:rsid w:val="3ED2798E"/>
    <w:rsid w:val="3ED736D2"/>
    <w:rsid w:val="3EE01AD6"/>
    <w:rsid w:val="3F1A1718"/>
    <w:rsid w:val="3F297CA3"/>
    <w:rsid w:val="3F395C5F"/>
    <w:rsid w:val="3F4E5041"/>
    <w:rsid w:val="3F506818"/>
    <w:rsid w:val="3F677E3A"/>
    <w:rsid w:val="3F823162"/>
    <w:rsid w:val="3FC419CD"/>
    <w:rsid w:val="3FE36C1C"/>
    <w:rsid w:val="3FEB19D5"/>
    <w:rsid w:val="3FF15ABF"/>
    <w:rsid w:val="3FF2EBC7"/>
    <w:rsid w:val="3FF3A243"/>
    <w:rsid w:val="40340044"/>
    <w:rsid w:val="40661E5E"/>
    <w:rsid w:val="406E45AD"/>
    <w:rsid w:val="40776A3F"/>
    <w:rsid w:val="407C0CAD"/>
    <w:rsid w:val="40827192"/>
    <w:rsid w:val="40924D64"/>
    <w:rsid w:val="40963A57"/>
    <w:rsid w:val="40CF0629"/>
    <w:rsid w:val="40D16C5D"/>
    <w:rsid w:val="40E86709"/>
    <w:rsid w:val="4105404B"/>
    <w:rsid w:val="410A3110"/>
    <w:rsid w:val="4118225D"/>
    <w:rsid w:val="41310CA2"/>
    <w:rsid w:val="41344930"/>
    <w:rsid w:val="417E2272"/>
    <w:rsid w:val="41856F3A"/>
    <w:rsid w:val="41893506"/>
    <w:rsid w:val="419915A4"/>
    <w:rsid w:val="41A82FD1"/>
    <w:rsid w:val="41B07D19"/>
    <w:rsid w:val="41BD66D4"/>
    <w:rsid w:val="41C35995"/>
    <w:rsid w:val="41C45CB4"/>
    <w:rsid w:val="41CF7D38"/>
    <w:rsid w:val="41FC4A89"/>
    <w:rsid w:val="420F1D94"/>
    <w:rsid w:val="422C362E"/>
    <w:rsid w:val="42334BE8"/>
    <w:rsid w:val="423E5ED2"/>
    <w:rsid w:val="42440BA3"/>
    <w:rsid w:val="424441F1"/>
    <w:rsid w:val="424C4CDE"/>
    <w:rsid w:val="425E0F00"/>
    <w:rsid w:val="426D5149"/>
    <w:rsid w:val="4277631F"/>
    <w:rsid w:val="427E3E3A"/>
    <w:rsid w:val="428917B7"/>
    <w:rsid w:val="42CE7FA4"/>
    <w:rsid w:val="42D40179"/>
    <w:rsid w:val="42F1595A"/>
    <w:rsid w:val="430B7DA4"/>
    <w:rsid w:val="430D4AC0"/>
    <w:rsid w:val="431247FD"/>
    <w:rsid w:val="431E047F"/>
    <w:rsid w:val="431E65EF"/>
    <w:rsid w:val="4348021F"/>
    <w:rsid w:val="435A4BBF"/>
    <w:rsid w:val="436A6565"/>
    <w:rsid w:val="437A019F"/>
    <w:rsid w:val="43891F34"/>
    <w:rsid w:val="43B21221"/>
    <w:rsid w:val="43C63987"/>
    <w:rsid w:val="43F31D81"/>
    <w:rsid w:val="43FB7AE7"/>
    <w:rsid w:val="43FF1225"/>
    <w:rsid w:val="4400649E"/>
    <w:rsid w:val="440305EA"/>
    <w:rsid w:val="441426C6"/>
    <w:rsid w:val="441466E5"/>
    <w:rsid w:val="441E3A5B"/>
    <w:rsid w:val="4421734C"/>
    <w:rsid w:val="44437D45"/>
    <w:rsid w:val="44460A9F"/>
    <w:rsid w:val="4478624B"/>
    <w:rsid w:val="4493367B"/>
    <w:rsid w:val="44A72843"/>
    <w:rsid w:val="44AB74B4"/>
    <w:rsid w:val="44B2771E"/>
    <w:rsid w:val="44B8368E"/>
    <w:rsid w:val="44CE29A6"/>
    <w:rsid w:val="44E20E2E"/>
    <w:rsid w:val="451505D5"/>
    <w:rsid w:val="452905F3"/>
    <w:rsid w:val="4531085A"/>
    <w:rsid w:val="456A35B3"/>
    <w:rsid w:val="457EDE95"/>
    <w:rsid w:val="45A45439"/>
    <w:rsid w:val="45CA7348"/>
    <w:rsid w:val="45CB72CE"/>
    <w:rsid w:val="45E87A97"/>
    <w:rsid w:val="461F4864"/>
    <w:rsid w:val="462B6DAB"/>
    <w:rsid w:val="463158E2"/>
    <w:rsid w:val="46364CA7"/>
    <w:rsid w:val="46977D08"/>
    <w:rsid w:val="469B5592"/>
    <w:rsid w:val="46A5400A"/>
    <w:rsid w:val="46B502C1"/>
    <w:rsid w:val="46C16C66"/>
    <w:rsid w:val="46C67C71"/>
    <w:rsid w:val="46DB6342"/>
    <w:rsid w:val="46F207EA"/>
    <w:rsid w:val="46F40267"/>
    <w:rsid w:val="46F87058"/>
    <w:rsid w:val="47283388"/>
    <w:rsid w:val="4750618B"/>
    <w:rsid w:val="475154E3"/>
    <w:rsid w:val="47705F96"/>
    <w:rsid w:val="477A20CD"/>
    <w:rsid w:val="47B265AF"/>
    <w:rsid w:val="47B916EB"/>
    <w:rsid w:val="47C35102"/>
    <w:rsid w:val="47C90408"/>
    <w:rsid w:val="47CA3491"/>
    <w:rsid w:val="47D11877"/>
    <w:rsid w:val="47DE0285"/>
    <w:rsid w:val="47EA0372"/>
    <w:rsid w:val="47EA0C50"/>
    <w:rsid w:val="47F77566"/>
    <w:rsid w:val="48131737"/>
    <w:rsid w:val="481C1F20"/>
    <w:rsid w:val="482932B2"/>
    <w:rsid w:val="48353471"/>
    <w:rsid w:val="48425B85"/>
    <w:rsid w:val="48452D6C"/>
    <w:rsid w:val="48482A6F"/>
    <w:rsid w:val="48490177"/>
    <w:rsid w:val="48547396"/>
    <w:rsid w:val="48734131"/>
    <w:rsid w:val="48801F0A"/>
    <w:rsid w:val="48990718"/>
    <w:rsid w:val="489C4879"/>
    <w:rsid w:val="489C7EA5"/>
    <w:rsid w:val="48CE566A"/>
    <w:rsid w:val="48F74BC1"/>
    <w:rsid w:val="49153299"/>
    <w:rsid w:val="49276E58"/>
    <w:rsid w:val="493A2D00"/>
    <w:rsid w:val="493E392A"/>
    <w:rsid w:val="494B4338"/>
    <w:rsid w:val="495E596A"/>
    <w:rsid w:val="49742A74"/>
    <w:rsid w:val="497A134E"/>
    <w:rsid w:val="497C5511"/>
    <w:rsid w:val="49807E97"/>
    <w:rsid w:val="49B65DC9"/>
    <w:rsid w:val="49CB1BAA"/>
    <w:rsid w:val="49F04484"/>
    <w:rsid w:val="4A131AB1"/>
    <w:rsid w:val="4A303DAC"/>
    <w:rsid w:val="4A34760C"/>
    <w:rsid w:val="4A5DF937"/>
    <w:rsid w:val="4A64259A"/>
    <w:rsid w:val="4AA2290B"/>
    <w:rsid w:val="4AA4128B"/>
    <w:rsid w:val="4AA658AC"/>
    <w:rsid w:val="4AAA7028"/>
    <w:rsid w:val="4AD50D4A"/>
    <w:rsid w:val="4AD625B4"/>
    <w:rsid w:val="4ADA6510"/>
    <w:rsid w:val="4ADB6F9C"/>
    <w:rsid w:val="4ADC75C4"/>
    <w:rsid w:val="4B2977E3"/>
    <w:rsid w:val="4B3A3263"/>
    <w:rsid w:val="4B404F96"/>
    <w:rsid w:val="4B4C0AC8"/>
    <w:rsid w:val="4B524331"/>
    <w:rsid w:val="4B5F395F"/>
    <w:rsid w:val="4B773D97"/>
    <w:rsid w:val="4B7A73E4"/>
    <w:rsid w:val="4B814C16"/>
    <w:rsid w:val="4BAD1567"/>
    <w:rsid w:val="4BB73A13"/>
    <w:rsid w:val="4BCB40E3"/>
    <w:rsid w:val="4BE22955"/>
    <w:rsid w:val="4C0C0983"/>
    <w:rsid w:val="4C2563A9"/>
    <w:rsid w:val="4C491FB6"/>
    <w:rsid w:val="4C4F79FA"/>
    <w:rsid w:val="4C60411D"/>
    <w:rsid w:val="4C663DD8"/>
    <w:rsid w:val="4C942727"/>
    <w:rsid w:val="4C9743B6"/>
    <w:rsid w:val="4CA56DBD"/>
    <w:rsid w:val="4CAC7A71"/>
    <w:rsid w:val="4CCD70EB"/>
    <w:rsid w:val="4CCE79E7"/>
    <w:rsid w:val="4CD15334"/>
    <w:rsid w:val="4CD62D3F"/>
    <w:rsid w:val="4CD82614"/>
    <w:rsid w:val="4CDC2AC2"/>
    <w:rsid w:val="4CE51F37"/>
    <w:rsid w:val="4CEF194A"/>
    <w:rsid w:val="4D123D13"/>
    <w:rsid w:val="4D1F0243"/>
    <w:rsid w:val="4D3A507C"/>
    <w:rsid w:val="4D4473CA"/>
    <w:rsid w:val="4D594184"/>
    <w:rsid w:val="4D670A85"/>
    <w:rsid w:val="4D80617B"/>
    <w:rsid w:val="4D806473"/>
    <w:rsid w:val="4DAF5A4C"/>
    <w:rsid w:val="4DB87F6B"/>
    <w:rsid w:val="4DBB7097"/>
    <w:rsid w:val="4DC608A6"/>
    <w:rsid w:val="4DCD4142"/>
    <w:rsid w:val="4DDF7F52"/>
    <w:rsid w:val="4DE10ED6"/>
    <w:rsid w:val="4DF85FC0"/>
    <w:rsid w:val="4E015B9A"/>
    <w:rsid w:val="4E0F475B"/>
    <w:rsid w:val="4E1074C8"/>
    <w:rsid w:val="4E1753BE"/>
    <w:rsid w:val="4E2B1D2E"/>
    <w:rsid w:val="4E527CB0"/>
    <w:rsid w:val="4E54216E"/>
    <w:rsid w:val="4E6C395B"/>
    <w:rsid w:val="4E6F1EF6"/>
    <w:rsid w:val="4E7B029B"/>
    <w:rsid w:val="4E9C2A45"/>
    <w:rsid w:val="4EA2112B"/>
    <w:rsid w:val="4ECB07EA"/>
    <w:rsid w:val="4ED92673"/>
    <w:rsid w:val="4EDA18B9"/>
    <w:rsid w:val="4F01299A"/>
    <w:rsid w:val="4F155DA1"/>
    <w:rsid w:val="4F216F20"/>
    <w:rsid w:val="4F573543"/>
    <w:rsid w:val="4F644633"/>
    <w:rsid w:val="4F6D467A"/>
    <w:rsid w:val="4F7FFFF5"/>
    <w:rsid w:val="4FA233AD"/>
    <w:rsid w:val="4FED507D"/>
    <w:rsid w:val="4FFB62E9"/>
    <w:rsid w:val="501C4E89"/>
    <w:rsid w:val="502B325D"/>
    <w:rsid w:val="50493828"/>
    <w:rsid w:val="505D795E"/>
    <w:rsid w:val="50630959"/>
    <w:rsid w:val="50715259"/>
    <w:rsid w:val="5075461D"/>
    <w:rsid w:val="50B30973"/>
    <w:rsid w:val="50D37CC2"/>
    <w:rsid w:val="50DB6B76"/>
    <w:rsid w:val="50DD3BA3"/>
    <w:rsid w:val="50E61CAB"/>
    <w:rsid w:val="50E8074E"/>
    <w:rsid w:val="51203526"/>
    <w:rsid w:val="5132754D"/>
    <w:rsid w:val="513564CC"/>
    <w:rsid w:val="514E3A09"/>
    <w:rsid w:val="517C3AF1"/>
    <w:rsid w:val="51915B3D"/>
    <w:rsid w:val="519F5121"/>
    <w:rsid w:val="51CE7A3C"/>
    <w:rsid w:val="52132340"/>
    <w:rsid w:val="5229273F"/>
    <w:rsid w:val="52344790"/>
    <w:rsid w:val="523522B6"/>
    <w:rsid w:val="52547228"/>
    <w:rsid w:val="525A0565"/>
    <w:rsid w:val="525B2B57"/>
    <w:rsid w:val="52620EE0"/>
    <w:rsid w:val="5287351C"/>
    <w:rsid w:val="529432E6"/>
    <w:rsid w:val="52A8026E"/>
    <w:rsid w:val="52EC7710"/>
    <w:rsid w:val="52F42171"/>
    <w:rsid w:val="532C197B"/>
    <w:rsid w:val="534C6115"/>
    <w:rsid w:val="53526154"/>
    <w:rsid w:val="53561F88"/>
    <w:rsid w:val="536B5C40"/>
    <w:rsid w:val="536D0B6C"/>
    <w:rsid w:val="53A41C0C"/>
    <w:rsid w:val="53A45945"/>
    <w:rsid w:val="53BC34C4"/>
    <w:rsid w:val="53CE29B7"/>
    <w:rsid w:val="53E126F6"/>
    <w:rsid w:val="53E76781"/>
    <w:rsid w:val="53E93F16"/>
    <w:rsid w:val="53F04BF7"/>
    <w:rsid w:val="540337E7"/>
    <w:rsid w:val="54142032"/>
    <w:rsid w:val="54143B82"/>
    <w:rsid w:val="54451376"/>
    <w:rsid w:val="546E7D01"/>
    <w:rsid w:val="547370C6"/>
    <w:rsid w:val="54776BE8"/>
    <w:rsid w:val="547B2C44"/>
    <w:rsid w:val="547F7066"/>
    <w:rsid w:val="548C0083"/>
    <w:rsid w:val="54AB5420"/>
    <w:rsid w:val="54B03E76"/>
    <w:rsid w:val="54BB4C4C"/>
    <w:rsid w:val="54BC10AE"/>
    <w:rsid w:val="54DE257B"/>
    <w:rsid w:val="54F82DE2"/>
    <w:rsid w:val="54FB3C2A"/>
    <w:rsid w:val="55091415"/>
    <w:rsid w:val="55124B31"/>
    <w:rsid w:val="5533415E"/>
    <w:rsid w:val="553A2949"/>
    <w:rsid w:val="553D5A1E"/>
    <w:rsid w:val="553D7E00"/>
    <w:rsid w:val="55473D6F"/>
    <w:rsid w:val="554F18E1"/>
    <w:rsid w:val="55562C6F"/>
    <w:rsid w:val="555B4C1C"/>
    <w:rsid w:val="55665E4B"/>
    <w:rsid w:val="557564F8"/>
    <w:rsid w:val="557C6AE7"/>
    <w:rsid w:val="55A0704C"/>
    <w:rsid w:val="55A923B9"/>
    <w:rsid w:val="55B74F49"/>
    <w:rsid w:val="55B87486"/>
    <w:rsid w:val="55BFB5EA"/>
    <w:rsid w:val="55D37E92"/>
    <w:rsid w:val="55DD38ED"/>
    <w:rsid w:val="55E72D6A"/>
    <w:rsid w:val="55ED71D6"/>
    <w:rsid w:val="561A1EEF"/>
    <w:rsid w:val="561A3EA2"/>
    <w:rsid w:val="56290384"/>
    <w:rsid w:val="56434C8D"/>
    <w:rsid w:val="568630E0"/>
    <w:rsid w:val="56892BD1"/>
    <w:rsid w:val="568A68D9"/>
    <w:rsid w:val="569577C7"/>
    <w:rsid w:val="569A6B8C"/>
    <w:rsid w:val="56A438D4"/>
    <w:rsid w:val="56BA5C7F"/>
    <w:rsid w:val="56D50ABF"/>
    <w:rsid w:val="56DE4CCA"/>
    <w:rsid w:val="56EA1F97"/>
    <w:rsid w:val="570F0FFB"/>
    <w:rsid w:val="57162CCF"/>
    <w:rsid w:val="573B211D"/>
    <w:rsid w:val="574E065D"/>
    <w:rsid w:val="575B7C13"/>
    <w:rsid w:val="576E7E03"/>
    <w:rsid w:val="578735B4"/>
    <w:rsid w:val="578A5B09"/>
    <w:rsid w:val="579B0E0D"/>
    <w:rsid w:val="57AA49F3"/>
    <w:rsid w:val="57AA5D1A"/>
    <w:rsid w:val="57BE32DB"/>
    <w:rsid w:val="57D52571"/>
    <w:rsid w:val="57D631F8"/>
    <w:rsid w:val="58030761"/>
    <w:rsid w:val="58082218"/>
    <w:rsid w:val="581028EA"/>
    <w:rsid w:val="58112E7E"/>
    <w:rsid w:val="58337298"/>
    <w:rsid w:val="58344161"/>
    <w:rsid w:val="585D0DF7"/>
    <w:rsid w:val="587316C8"/>
    <w:rsid w:val="58810003"/>
    <w:rsid w:val="58AD641D"/>
    <w:rsid w:val="58B420E4"/>
    <w:rsid w:val="58BE1257"/>
    <w:rsid w:val="58D03AC0"/>
    <w:rsid w:val="58DE14C6"/>
    <w:rsid w:val="58F92391"/>
    <w:rsid w:val="59135C67"/>
    <w:rsid w:val="59267823"/>
    <w:rsid w:val="593C1329"/>
    <w:rsid w:val="595A34E9"/>
    <w:rsid w:val="595B7937"/>
    <w:rsid w:val="597C7365"/>
    <w:rsid w:val="597F7369"/>
    <w:rsid w:val="59997155"/>
    <w:rsid w:val="59A2414B"/>
    <w:rsid w:val="59C700D6"/>
    <w:rsid w:val="59FE08FA"/>
    <w:rsid w:val="5A060D86"/>
    <w:rsid w:val="5A436B6E"/>
    <w:rsid w:val="5A623E64"/>
    <w:rsid w:val="5A886394"/>
    <w:rsid w:val="5A9F6060"/>
    <w:rsid w:val="5AA91A93"/>
    <w:rsid w:val="5ABA77FD"/>
    <w:rsid w:val="5AC861B0"/>
    <w:rsid w:val="5ACF7403"/>
    <w:rsid w:val="5AE825BC"/>
    <w:rsid w:val="5B2A6B46"/>
    <w:rsid w:val="5B46719F"/>
    <w:rsid w:val="5B5437AD"/>
    <w:rsid w:val="5B6445A2"/>
    <w:rsid w:val="5B737DCF"/>
    <w:rsid w:val="5B761344"/>
    <w:rsid w:val="5BA42A14"/>
    <w:rsid w:val="5BB47CCC"/>
    <w:rsid w:val="5BD05B9D"/>
    <w:rsid w:val="5BD343E6"/>
    <w:rsid w:val="5BE00F61"/>
    <w:rsid w:val="5BE2525D"/>
    <w:rsid w:val="5BFB5206"/>
    <w:rsid w:val="5BFE5E0F"/>
    <w:rsid w:val="5C335AB8"/>
    <w:rsid w:val="5C5967A7"/>
    <w:rsid w:val="5C62014C"/>
    <w:rsid w:val="5C6930FC"/>
    <w:rsid w:val="5C761E49"/>
    <w:rsid w:val="5C783F00"/>
    <w:rsid w:val="5C983B6D"/>
    <w:rsid w:val="5CB1098A"/>
    <w:rsid w:val="5CB65A64"/>
    <w:rsid w:val="5CD26BB3"/>
    <w:rsid w:val="5CEB063E"/>
    <w:rsid w:val="5D0B0214"/>
    <w:rsid w:val="5D1A0A42"/>
    <w:rsid w:val="5D2673CB"/>
    <w:rsid w:val="5D327B1E"/>
    <w:rsid w:val="5D4F1710"/>
    <w:rsid w:val="5D71045F"/>
    <w:rsid w:val="5D740167"/>
    <w:rsid w:val="5D7B7702"/>
    <w:rsid w:val="5DA55EAC"/>
    <w:rsid w:val="5DAC626B"/>
    <w:rsid w:val="5DC133FE"/>
    <w:rsid w:val="5DDBC23F"/>
    <w:rsid w:val="5DE352BC"/>
    <w:rsid w:val="5DE828D3"/>
    <w:rsid w:val="5DFF9F1D"/>
    <w:rsid w:val="5E146811"/>
    <w:rsid w:val="5E2C0A8E"/>
    <w:rsid w:val="5E3F1ED0"/>
    <w:rsid w:val="5E4A015A"/>
    <w:rsid w:val="5E4E1E2F"/>
    <w:rsid w:val="5E6A0F75"/>
    <w:rsid w:val="5E6CC54E"/>
    <w:rsid w:val="5E7E280E"/>
    <w:rsid w:val="5EA343F9"/>
    <w:rsid w:val="5EC24ED2"/>
    <w:rsid w:val="5ED370DF"/>
    <w:rsid w:val="5EF27472"/>
    <w:rsid w:val="5F14535C"/>
    <w:rsid w:val="5F164D5E"/>
    <w:rsid w:val="5F1F2257"/>
    <w:rsid w:val="5F2D2E3D"/>
    <w:rsid w:val="5F4F1A3A"/>
    <w:rsid w:val="5F511649"/>
    <w:rsid w:val="5F5875E4"/>
    <w:rsid w:val="5F685E6D"/>
    <w:rsid w:val="5F741C71"/>
    <w:rsid w:val="5F7A39FE"/>
    <w:rsid w:val="5F884475"/>
    <w:rsid w:val="5F8D1984"/>
    <w:rsid w:val="5F940261"/>
    <w:rsid w:val="5FAC17B4"/>
    <w:rsid w:val="5FBE713C"/>
    <w:rsid w:val="5FDA399F"/>
    <w:rsid w:val="5FE7EFA6"/>
    <w:rsid w:val="5FFA79ED"/>
    <w:rsid w:val="5FFDE06D"/>
    <w:rsid w:val="60350249"/>
    <w:rsid w:val="60591866"/>
    <w:rsid w:val="60651FB9"/>
    <w:rsid w:val="606D0EF6"/>
    <w:rsid w:val="60806A99"/>
    <w:rsid w:val="60854409"/>
    <w:rsid w:val="60B442A8"/>
    <w:rsid w:val="60FD48E7"/>
    <w:rsid w:val="60FD7810"/>
    <w:rsid w:val="61013040"/>
    <w:rsid w:val="610E310A"/>
    <w:rsid w:val="611C35B8"/>
    <w:rsid w:val="611D1C0E"/>
    <w:rsid w:val="614D09BF"/>
    <w:rsid w:val="61542AA3"/>
    <w:rsid w:val="6166248C"/>
    <w:rsid w:val="61A25580"/>
    <w:rsid w:val="61AE7556"/>
    <w:rsid w:val="61C55F7F"/>
    <w:rsid w:val="61CA3612"/>
    <w:rsid w:val="61D41854"/>
    <w:rsid w:val="61E06CCE"/>
    <w:rsid w:val="61EA4E6B"/>
    <w:rsid w:val="61F46458"/>
    <w:rsid w:val="62282B27"/>
    <w:rsid w:val="625A6442"/>
    <w:rsid w:val="6271733B"/>
    <w:rsid w:val="62C31135"/>
    <w:rsid w:val="62C76106"/>
    <w:rsid w:val="62CC474C"/>
    <w:rsid w:val="62FF72FE"/>
    <w:rsid w:val="631B72A6"/>
    <w:rsid w:val="635D341B"/>
    <w:rsid w:val="637B0B27"/>
    <w:rsid w:val="63874046"/>
    <w:rsid w:val="638B4892"/>
    <w:rsid w:val="63AB062A"/>
    <w:rsid w:val="63BB45AD"/>
    <w:rsid w:val="63C33BC6"/>
    <w:rsid w:val="63C73E6D"/>
    <w:rsid w:val="63C74D38"/>
    <w:rsid w:val="63CB2A7A"/>
    <w:rsid w:val="63D062E3"/>
    <w:rsid w:val="63DD4529"/>
    <w:rsid w:val="63FA72A5"/>
    <w:rsid w:val="63FC0611"/>
    <w:rsid w:val="64010633"/>
    <w:rsid w:val="641222ED"/>
    <w:rsid w:val="64217FBE"/>
    <w:rsid w:val="642B5582"/>
    <w:rsid w:val="64306D81"/>
    <w:rsid w:val="64354398"/>
    <w:rsid w:val="644878A5"/>
    <w:rsid w:val="644B7717"/>
    <w:rsid w:val="64516BFF"/>
    <w:rsid w:val="64643953"/>
    <w:rsid w:val="64931A65"/>
    <w:rsid w:val="64963CFA"/>
    <w:rsid w:val="649A62D1"/>
    <w:rsid w:val="64B30D99"/>
    <w:rsid w:val="64B31A3E"/>
    <w:rsid w:val="64BB7086"/>
    <w:rsid w:val="64DF720B"/>
    <w:rsid w:val="64E738E4"/>
    <w:rsid w:val="64FB2F8F"/>
    <w:rsid w:val="64FD6C64"/>
    <w:rsid w:val="6502750F"/>
    <w:rsid w:val="654A5C21"/>
    <w:rsid w:val="655769D7"/>
    <w:rsid w:val="65644F35"/>
    <w:rsid w:val="656C203B"/>
    <w:rsid w:val="658C66C4"/>
    <w:rsid w:val="6591642E"/>
    <w:rsid w:val="65B76CC0"/>
    <w:rsid w:val="65BC08CD"/>
    <w:rsid w:val="65C86337"/>
    <w:rsid w:val="65CD2ADA"/>
    <w:rsid w:val="65DC6542"/>
    <w:rsid w:val="65E27442"/>
    <w:rsid w:val="65FE3124"/>
    <w:rsid w:val="66007D67"/>
    <w:rsid w:val="66475BEE"/>
    <w:rsid w:val="665A717C"/>
    <w:rsid w:val="665C1A13"/>
    <w:rsid w:val="66756CCD"/>
    <w:rsid w:val="667C4500"/>
    <w:rsid w:val="66921396"/>
    <w:rsid w:val="669A00A1"/>
    <w:rsid w:val="669A0A1D"/>
    <w:rsid w:val="66C77EC3"/>
    <w:rsid w:val="66CC2D91"/>
    <w:rsid w:val="66CD32EE"/>
    <w:rsid w:val="66EF31C1"/>
    <w:rsid w:val="66EF7E49"/>
    <w:rsid w:val="67286643"/>
    <w:rsid w:val="67340A1D"/>
    <w:rsid w:val="67415D12"/>
    <w:rsid w:val="67645CC5"/>
    <w:rsid w:val="679D0438"/>
    <w:rsid w:val="679F14A6"/>
    <w:rsid w:val="67A7594A"/>
    <w:rsid w:val="67DA14DE"/>
    <w:rsid w:val="67DF08A2"/>
    <w:rsid w:val="67F56318"/>
    <w:rsid w:val="67F71CAA"/>
    <w:rsid w:val="68110444"/>
    <w:rsid w:val="68251C6A"/>
    <w:rsid w:val="6833136E"/>
    <w:rsid w:val="68374646"/>
    <w:rsid w:val="68460921"/>
    <w:rsid w:val="6851003F"/>
    <w:rsid w:val="68532F31"/>
    <w:rsid w:val="685D1197"/>
    <w:rsid w:val="685F2B0C"/>
    <w:rsid w:val="68694610"/>
    <w:rsid w:val="686A5890"/>
    <w:rsid w:val="686E4CA0"/>
    <w:rsid w:val="6870598D"/>
    <w:rsid w:val="68752292"/>
    <w:rsid w:val="68B24209"/>
    <w:rsid w:val="68CD56D6"/>
    <w:rsid w:val="68CE0878"/>
    <w:rsid w:val="68DF3F07"/>
    <w:rsid w:val="68E14DD2"/>
    <w:rsid w:val="68F33602"/>
    <w:rsid w:val="68FF17F8"/>
    <w:rsid w:val="691F6273"/>
    <w:rsid w:val="6938799E"/>
    <w:rsid w:val="69407A67"/>
    <w:rsid w:val="695D23C7"/>
    <w:rsid w:val="696C085C"/>
    <w:rsid w:val="697221B5"/>
    <w:rsid w:val="69790883"/>
    <w:rsid w:val="69875626"/>
    <w:rsid w:val="698A2836"/>
    <w:rsid w:val="69A773FE"/>
    <w:rsid w:val="69AA0546"/>
    <w:rsid w:val="69AC4EE2"/>
    <w:rsid w:val="69B15060"/>
    <w:rsid w:val="69B72806"/>
    <w:rsid w:val="69C21FC2"/>
    <w:rsid w:val="69CB7528"/>
    <w:rsid w:val="69CC031D"/>
    <w:rsid w:val="69CC5602"/>
    <w:rsid w:val="69CD3032"/>
    <w:rsid w:val="69DE1C53"/>
    <w:rsid w:val="69DF0F70"/>
    <w:rsid w:val="69EE74C3"/>
    <w:rsid w:val="69F37FE8"/>
    <w:rsid w:val="69F431E5"/>
    <w:rsid w:val="69FB05D9"/>
    <w:rsid w:val="6A21429B"/>
    <w:rsid w:val="6A317FEC"/>
    <w:rsid w:val="6A395739"/>
    <w:rsid w:val="6A5D1615"/>
    <w:rsid w:val="6A5F3F1C"/>
    <w:rsid w:val="6A667351"/>
    <w:rsid w:val="6A690452"/>
    <w:rsid w:val="6A70612A"/>
    <w:rsid w:val="6AA92C8E"/>
    <w:rsid w:val="6AC86B5F"/>
    <w:rsid w:val="6AD5470C"/>
    <w:rsid w:val="6AE34B4E"/>
    <w:rsid w:val="6AF1512E"/>
    <w:rsid w:val="6B0219AB"/>
    <w:rsid w:val="6B047BC0"/>
    <w:rsid w:val="6B372870"/>
    <w:rsid w:val="6B3B37DD"/>
    <w:rsid w:val="6B433FD4"/>
    <w:rsid w:val="6B460C38"/>
    <w:rsid w:val="6B4C78DC"/>
    <w:rsid w:val="6B6D4BD4"/>
    <w:rsid w:val="6B736C65"/>
    <w:rsid w:val="6B884223"/>
    <w:rsid w:val="6BB40BC2"/>
    <w:rsid w:val="6BB81B36"/>
    <w:rsid w:val="6BCC6A33"/>
    <w:rsid w:val="6BE94680"/>
    <w:rsid w:val="6BFF4000"/>
    <w:rsid w:val="6C1648A2"/>
    <w:rsid w:val="6C2B5B56"/>
    <w:rsid w:val="6C405A24"/>
    <w:rsid w:val="6C4A343D"/>
    <w:rsid w:val="6C4C1DDE"/>
    <w:rsid w:val="6C62372D"/>
    <w:rsid w:val="6C7360A2"/>
    <w:rsid w:val="6C98271E"/>
    <w:rsid w:val="6CB357D4"/>
    <w:rsid w:val="6CD6095A"/>
    <w:rsid w:val="6CEB1A97"/>
    <w:rsid w:val="6CED5810"/>
    <w:rsid w:val="6CFA617E"/>
    <w:rsid w:val="6D09664F"/>
    <w:rsid w:val="6D1A3ED2"/>
    <w:rsid w:val="6D1C5D45"/>
    <w:rsid w:val="6D2052F1"/>
    <w:rsid w:val="6D2A1AE4"/>
    <w:rsid w:val="6D2C0363"/>
    <w:rsid w:val="6D420584"/>
    <w:rsid w:val="6D4556BC"/>
    <w:rsid w:val="6D57537F"/>
    <w:rsid w:val="6D5B4E6F"/>
    <w:rsid w:val="6D5F9871"/>
    <w:rsid w:val="6D7C6B86"/>
    <w:rsid w:val="6D886D51"/>
    <w:rsid w:val="6D98425A"/>
    <w:rsid w:val="6D9C4CB2"/>
    <w:rsid w:val="6DAC52D8"/>
    <w:rsid w:val="6DBC51E2"/>
    <w:rsid w:val="6DBE53FE"/>
    <w:rsid w:val="6DCC4C0D"/>
    <w:rsid w:val="6DE52F24"/>
    <w:rsid w:val="6DF01546"/>
    <w:rsid w:val="6E02353D"/>
    <w:rsid w:val="6E0D5193"/>
    <w:rsid w:val="6E2B38B7"/>
    <w:rsid w:val="6E42100A"/>
    <w:rsid w:val="6E4341AC"/>
    <w:rsid w:val="6E6E1F0C"/>
    <w:rsid w:val="6E8757F0"/>
    <w:rsid w:val="6E8C2E06"/>
    <w:rsid w:val="6E9D5BDB"/>
    <w:rsid w:val="6EDF68A0"/>
    <w:rsid w:val="6EE113A4"/>
    <w:rsid w:val="6EFF7A7C"/>
    <w:rsid w:val="6F436F8F"/>
    <w:rsid w:val="6F4D5562"/>
    <w:rsid w:val="6F663712"/>
    <w:rsid w:val="6F6D69E8"/>
    <w:rsid w:val="6F8B29B5"/>
    <w:rsid w:val="6F963F3C"/>
    <w:rsid w:val="6F9B0752"/>
    <w:rsid w:val="6FD156E3"/>
    <w:rsid w:val="6FED75FB"/>
    <w:rsid w:val="70041560"/>
    <w:rsid w:val="700A0487"/>
    <w:rsid w:val="70115CB9"/>
    <w:rsid w:val="703467FC"/>
    <w:rsid w:val="7040732E"/>
    <w:rsid w:val="70726075"/>
    <w:rsid w:val="70853FB1"/>
    <w:rsid w:val="7086364B"/>
    <w:rsid w:val="70A42103"/>
    <w:rsid w:val="70CFCD7C"/>
    <w:rsid w:val="70F058CE"/>
    <w:rsid w:val="710B27AB"/>
    <w:rsid w:val="711E5B18"/>
    <w:rsid w:val="712C6F85"/>
    <w:rsid w:val="71320E55"/>
    <w:rsid w:val="71321C7C"/>
    <w:rsid w:val="71333A0D"/>
    <w:rsid w:val="71340B64"/>
    <w:rsid w:val="713C4FB8"/>
    <w:rsid w:val="714D7437"/>
    <w:rsid w:val="71546F0E"/>
    <w:rsid w:val="716A38D3"/>
    <w:rsid w:val="7170146E"/>
    <w:rsid w:val="717268C8"/>
    <w:rsid w:val="71802D0E"/>
    <w:rsid w:val="718F5890"/>
    <w:rsid w:val="71900E5F"/>
    <w:rsid w:val="719323BF"/>
    <w:rsid w:val="71BA7C8A"/>
    <w:rsid w:val="71BF5087"/>
    <w:rsid w:val="71C23C59"/>
    <w:rsid w:val="71C57971"/>
    <w:rsid w:val="71EC11CD"/>
    <w:rsid w:val="71F17B50"/>
    <w:rsid w:val="71F31B1A"/>
    <w:rsid w:val="720506A4"/>
    <w:rsid w:val="72143E26"/>
    <w:rsid w:val="722B6EAC"/>
    <w:rsid w:val="7235573F"/>
    <w:rsid w:val="723629FF"/>
    <w:rsid w:val="723E08BB"/>
    <w:rsid w:val="72534367"/>
    <w:rsid w:val="726C56B8"/>
    <w:rsid w:val="7288771C"/>
    <w:rsid w:val="728D4961"/>
    <w:rsid w:val="72911F34"/>
    <w:rsid w:val="729D380E"/>
    <w:rsid w:val="72A458E1"/>
    <w:rsid w:val="72B02147"/>
    <w:rsid w:val="72CB65F3"/>
    <w:rsid w:val="72CE592F"/>
    <w:rsid w:val="72F838AA"/>
    <w:rsid w:val="73012015"/>
    <w:rsid w:val="73134385"/>
    <w:rsid w:val="731726EC"/>
    <w:rsid w:val="73197AE0"/>
    <w:rsid w:val="73221860"/>
    <w:rsid w:val="732775A1"/>
    <w:rsid w:val="7338174B"/>
    <w:rsid w:val="733A4EF6"/>
    <w:rsid w:val="733D0234"/>
    <w:rsid w:val="733E33D3"/>
    <w:rsid w:val="733F0360"/>
    <w:rsid w:val="737427E7"/>
    <w:rsid w:val="73773239"/>
    <w:rsid w:val="73835DC4"/>
    <w:rsid w:val="73B520AC"/>
    <w:rsid w:val="73B77660"/>
    <w:rsid w:val="73BF3BE6"/>
    <w:rsid w:val="73C761B5"/>
    <w:rsid w:val="73C97C37"/>
    <w:rsid w:val="73D43285"/>
    <w:rsid w:val="73D872D7"/>
    <w:rsid w:val="73ED07EB"/>
    <w:rsid w:val="73F676A0"/>
    <w:rsid w:val="73F956D4"/>
    <w:rsid w:val="73FA14E3"/>
    <w:rsid w:val="740A7F35"/>
    <w:rsid w:val="742D4CA1"/>
    <w:rsid w:val="74336AF3"/>
    <w:rsid w:val="74613585"/>
    <w:rsid w:val="747D3462"/>
    <w:rsid w:val="74812030"/>
    <w:rsid w:val="74886161"/>
    <w:rsid w:val="748A428C"/>
    <w:rsid w:val="749D7B1B"/>
    <w:rsid w:val="74A039B1"/>
    <w:rsid w:val="74B03CF2"/>
    <w:rsid w:val="74D06143"/>
    <w:rsid w:val="74DC097B"/>
    <w:rsid w:val="74E66F49"/>
    <w:rsid w:val="74EB245C"/>
    <w:rsid w:val="752B5127"/>
    <w:rsid w:val="753C15BB"/>
    <w:rsid w:val="75585493"/>
    <w:rsid w:val="755E6626"/>
    <w:rsid w:val="75841DF5"/>
    <w:rsid w:val="758A071C"/>
    <w:rsid w:val="758C4CA2"/>
    <w:rsid w:val="75A13617"/>
    <w:rsid w:val="75B01AD0"/>
    <w:rsid w:val="75BF7F65"/>
    <w:rsid w:val="75C45800"/>
    <w:rsid w:val="75D40046"/>
    <w:rsid w:val="75D96E3B"/>
    <w:rsid w:val="75E654F2"/>
    <w:rsid w:val="75F75951"/>
    <w:rsid w:val="75FF345C"/>
    <w:rsid w:val="762F29E5"/>
    <w:rsid w:val="76432944"/>
    <w:rsid w:val="764374F1"/>
    <w:rsid w:val="764C17F9"/>
    <w:rsid w:val="76944E76"/>
    <w:rsid w:val="769A26CA"/>
    <w:rsid w:val="76AE6010"/>
    <w:rsid w:val="76C34928"/>
    <w:rsid w:val="76D17FE1"/>
    <w:rsid w:val="76DF15B8"/>
    <w:rsid w:val="76EB7264"/>
    <w:rsid w:val="76FB601C"/>
    <w:rsid w:val="76FF686B"/>
    <w:rsid w:val="76FFEFCA"/>
    <w:rsid w:val="77040325"/>
    <w:rsid w:val="7708778F"/>
    <w:rsid w:val="770B7BD2"/>
    <w:rsid w:val="773368D5"/>
    <w:rsid w:val="77690189"/>
    <w:rsid w:val="776FA1AD"/>
    <w:rsid w:val="778364BE"/>
    <w:rsid w:val="7799548D"/>
    <w:rsid w:val="77A80CDE"/>
    <w:rsid w:val="77B90DE7"/>
    <w:rsid w:val="77ED1FBE"/>
    <w:rsid w:val="7803238B"/>
    <w:rsid w:val="7819395D"/>
    <w:rsid w:val="78482494"/>
    <w:rsid w:val="78713799"/>
    <w:rsid w:val="787764A6"/>
    <w:rsid w:val="78867CFB"/>
    <w:rsid w:val="789254BD"/>
    <w:rsid w:val="78AE1EE3"/>
    <w:rsid w:val="78CA3C00"/>
    <w:rsid w:val="78D06FA5"/>
    <w:rsid w:val="78F044C0"/>
    <w:rsid w:val="793D3D59"/>
    <w:rsid w:val="794F33AE"/>
    <w:rsid w:val="795A5FDB"/>
    <w:rsid w:val="795F47C4"/>
    <w:rsid w:val="795F4B87"/>
    <w:rsid w:val="796432FD"/>
    <w:rsid w:val="7964594B"/>
    <w:rsid w:val="796C0E43"/>
    <w:rsid w:val="798B16F8"/>
    <w:rsid w:val="799139C7"/>
    <w:rsid w:val="799447B2"/>
    <w:rsid w:val="79993DEC"/>
    <w:rsid w:val="799D05BD"/>
    <w:rsid w:val="79C22FB4"/>
    <w:rsid w:val="79C356CA"/>
    <w:rsid w:val="79CD1CC3"/>
    <w:rsid w:val="79D33A4B"/>
    <w:rsid w:val="79E02F00"/>
    <w:rsid w:val="79EA1578"/>
    <w:rsid w:val="79F9227E"/>
    <w:rsid w:val="79FC52E4"/>
    <w:rsid w:val="7A03141B"/>
    <w:rsid w:val="7A2F68CB"/>
    <w:rsid w:val="7A4B1DC7"/>
    <w:rsid w:val="7A5275FA"/>
    <w:rsid w:val="7A532F6D"/>
    <w:rsid w:val="7A9E603E"/>
    <w:rsid w:val="7AA163B3"/>
    <w:rsid w:val="7AB01F3D"/>
    <w:rsid w:val="7ACE4950"/>
    <w:rsid w:val="7AD65B35"/>
    <w:rsid w:val="7ADB04CF"/>
    <w:rsid w:val="7ADD1DF2"/>
    <w:rsid w:val="7AFE0D18"/>
    <w:rsid w:val="7B0326A2"/>
    <w:rsid w:val="7B2A08CC"/>
    <w:rsid w:val="7B4B5341"/>
    <w:rsid w:val="7B5B1A0B"/>
    <w:rsid w:val="7B70050C"/>
    <w:rsid w:val="7B856E03"/>
    <w:rsid w:val="7B937ECA"/>
    <w:rsid w:val="7BAB5214"/>
    <w:rsid w:val="7BB31608"/>
    <w:rsid w:val="7BBF2A96"/>
    <w:rsid w:val="7BD95DD9"/>
    <w:rsid w:val="7BE50BC8"/>
    <w:rsid w:val="7BEE4D3B"/>
    <w:rsid w:val="7BF070CA"/>
    <w:rsid w:val="7BF9716D"/>
    <w:rsid w:val="7C077508"/>
    <w:rsid w:val="7C1F4334"/>
    <w:rsid w:val="7C42078B"/>
    <w:rsid w:val="7C490589"/>
    <w:rsid w:val="7C5713BA"/>
    <w:rsid w:val="7C695398"/>
    <w:rsid w:val="7C6D2C5C"/>
    <w:rsid w:val="7C867073"/>
    <w:rsid w:val="7C8D2D58"/>
    <w:rsid w:val="7CA503F5"/>
    <w:rsid w:val="7CAB2FF1"/>
    <w:rsid w:val="7CB302CB"/>
    <w:rsid w:val="7CB47D2E"/>
    <w:rsid w:val="7CCA1F6A"/>
    <w:rsid w:val="7D020E63"/>
    <w:rsid w:val="7D0D7808"/>
    <w:rsid w:val="7D1948FD"/>
    <w:rsid w:val="7D2C3CD5"/>
    <w:rsid w:val="7D2C6F9F"/>
    <w:rsid w:val="7D303869"/>
    <w:rsid w:val="7D375AFD"/>
    <w:rsid w:val="7D543264"/>
    <w:rsid w:val="7D6D7156"/>
    <w:rsid w:val="7D7115AD"/>
    <w:rsid w:val="7D77CD8B"/>
    <w:rsid w:val="7D7D0121"/>
    <w:rsid w:val="7DAE4568"/>
    <w:rsid w:val="7DC85A4E"/>
    <w:rsid w:val="7DCE6F97"/>
    <w:rsid w:val="7DF033B2"/>
    <w:rsid w:val="7DF550BA"/>
    <w:rsid w:val="7E1150D6"/>
    <w:rsid w:val="7E531FFF"/>
    <w:rsid w:val="7E5E764B"/>
    <w:rsid w:val="7E6A278D"/>
    <w:rsid w:val="7E6A3164"/>
    <w:rsid w:val="7E9E696A"/>
    <w:rsid w:val="7EA44BEF"/>
    <w:rsid w:val="7EC34622"/>
    <w:rsid w:val="7ECB55B8"/>
    <w:rsid w:val="7EE626A2"/>
    <w:rsid w:val="7EEC63E7"/>
    <w:rsid w:val="7EF54C4F"/>
    <w:rsid w:val="7EFB3937"/>
    <w:rsid w:val="7F020EC4"/>
    <w:rsid w:val="7F381A2F"/>
    <w:rsid w:val="7F5957B0"/>
    <w:rsid w:val="7F6573DA"/>
    <w:rsid w:val="7F6A0F42"/>
    <w:rsid w:val="7F6F0306"/>
    <w:rsid w:val="7F9846AE"/>
    <w:rsid w:val="7F9A7F46"/>
    <w:rsid w:val="7FA73F44"/>
    <w:rsid w:val="7FAD0277"/>
    <w:rsid w:val="7FBD28C5"/>
    <w:rsid w:val="7FBF358D"/>
    <w:rsid w:val="7FBFBF72"/>
    <w:rsid w:val="7FC50214"/>
    <w:rsid w:val="7FDF5054"/>
    <w:rsid w:val="7FEF0420"/>
    <w:rsid w:val="7FEF69C1"/>
    <w:rsid w:val="7FEF71EF"/>
    <w:rsid w:val="7FF36395"/>
    <w:rsid w:val="BBDE3CDA"/>
    <w:rsid w:val="BFEF98A5"/>
    <w:rsid w:val="CEC070A4"/>
    <w:rsid w:val="D3B59030"/>
    <w:rsid w:val="D7DF790D"/>
    <w:rsid w:val="D96F284F"/>
    <w:rsid w:val="DADB74ED"/>
    <w:rsid w:val="DAF75078"/>
    <w:rsid w:val="DDD57D28"/>
    <w:rsid w:val="DEF3D404"/>
    <w:rsid w:val="DF2ECDB2"/>
    <w:rsid w:val="DFEB3F42"/>
    <w:rsid w:val="E56F2B7F"/>
    <w:rsid w:val="EBEABE36"/>
    <w:rsid w:val="ECF649EA"/>
    <w:rsid w:val="ED3FDAF2"/>
    <w:rsid w:val="EDFF6268"/>
    <w:rsid w:val="F29A3A18"/>
    <w:rsid w:val="F5F97219"/>
    <w:rsid w:val="F97FA66A"/>
    <w:rsid w:val="FB8F3239"/>
    <w:rsid w:val="FBF6CE76"/>
    <w:rsid w:val="FBF9C050"/>
    <w:rsid w:val="FBFB8C2C"/>
    <w:rsid w:val="FE5B95C9"/>
    <w:rsid w:val="FEDFC13F"/>
    <w:rsid w:val="FEFB5276"/>
    <w:rsid w:val="FEFF942B"/>
    <w:rsid w:val="FF73FC5A"/>
    <w:rsid w:val="FF766FA2"/>
    <w:rsid w:val="FF7FDFD9"/>
    <w:rsid w:val="FFEB1FCE"/>
    <w:rsid w:val="FFF75D82"/>
    <w:rsid w:val="FFFF55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link w:val="70"/>
    <w:semiHidden/>
    <w:unhideWhenUsed/>
    <w:qFormat/>
    <w:uiPriority w:val="0"/>
    <w:pPr>
      <w:keepNext/>
      <w:keepLines/>
      <w:tabs>
        <w:tab w:val="left" w:pos="8280"/>
      </w:tabs>
      <w:spacing w:before="260" w:after="260" w:line="416" w:lineRule="auto"/>
      <w:outlineLvl w:val="2"/>
    </w:pPr>
    <w:rPr>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customStyle="1" w:styleId="9">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Body Text Indent"/>
    <w:basedOn w:val="1"/>
    <w:qFormat/>
    <w:uiPriority w:val="0"/>
    <w:pPr>
      <w:spacing w:after="120"/>
      <w:ind w:left="420" w:leftChars="200"/>
    </w:p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toc 6"/>
    <w:basedOn w:val="1"/>
    <w:next w:val="1"/>
    <w:qFormat/>
    <w:uiPriority w:val="39"/>
    <w:pPr>
      <w:widowControl/>
      <w:ind w:left="1000"/>
      <w:jc w:val="left"/>
    </w:pPr>
    <w:rPr>
      <w:kern w:val="0"/>
      <w:sz w:val="18"/>
      <w:szCs w:val="20"/>
    </w:rPr>
  </w:style>
  <w:style w:type="paragraph" w:styleId="18">
    <w:name w:val="index 7"/>
    <w:basedOn w:val="1"/>
    <w:next w:val="1"/>
    <w:qFormat/>
    <w:uiPriority w:val="0"/>
    <w:pPr>
      <w:ind w:left="1200" w:leftChars="1200"/>
    </w:p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index 1"/>
    <w:basedOn w:val="1"/>
    <w:next w:val="1"/>
    <w:unhideWhenUsed/>
    <w:qFormat/>
    <w:uiPriority w:val="0"/>
    <w:pPr>
      <w:spacing w:line="500" w:lineRule="exact"/>
      <w:jc w:val="center"/>
    </w:pPr>
    <w:rPr>
      <w:sz w:val="28"/>
    </w:rPr>
  </w:style>
  <w:style w:type="paragraph" w:styleId="21">
    <w:name w:val="Title"/>
    <w:basedOn w:val="1"/>
    <w:next w:val="1"/>
    <w:qFormat/>
    <w:uiPriority w:val="10"/>
    <w:pPr>
      <w:jc w:val="center"/>
      <w:outlineLvl w:val="0"/>
    </w:pPr>
    <w:rPr>
      <w:rFonts w:ascii="Arial" w:hAnsi="Arial"/>
      <w:b/>
      <w:sz w:val="32"/>
    </w:rPr>
  </w:style>
  <w:style w:type="paragraph" w:styleId="22">
    <w:name w:val="Body Text First Indent"/>
    <w:basedOn w:val="8"/>
    <w:next w:val="1"/>
    <w:qFormat/>
    <w:uiPriority w:val="0"/>
    <w:pPr>
      <w:ind w:firstLine="200" w:firstLineChars="200"/>
    </w:pPr>
  </w:style>
  <w:style w:type="paragraph" w:styleId="23">
    <w:name w:val="Body Text First Indent 2"/>
    <w:basedOn w:val="10"/>
    <w:qFormat/>
    <w:uiPriority w:val="0"/>
    <w:pPr>
      <w:ind w:firstLine="420"/>
    </w:pPr>
  </w:style>
  <w:style w:type="table" w:styleId="25">
    <w:name w:val="Table Grid"/>
    <w:basedOn w:val="24"/>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rFonts w:ascii="Times New Roman" w:hAnsi="Times New Roman" w:eastAsia="宋体" w:cs="Times New Roman"/>
      <w:b/>
      <w:bCs/>
    </w:rPr>
  </w:style>
  <w:style w:type="character" w:styleId="28">
    <w:name w:val="Hyperlink"/>
    <w:qFormat/>
    <w:uiPriority w:val="0"/>
    <w:rPr>
      <w:color w:val="0000FF"/>
      <w:u w:val="single"/>
    </w:rPr>
  </w:style>
  <w:style w:type="character" w:styleId="29">
    <w:name w:val="annotation reference"/>
    <w:basedOn w:val="26"/>
    <w:qFormat/>
    <w:uiPriority w:val="0"/>
    <w:rPr>
      <w:sz w:val="21"/>
      <w:szCs w:val="21"/>
    </w:rPr>
  </w:style>
  <w:style w:type="paragraph" w:customStyle="1" w:styleId="30">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customStyle="1" w:styleId="31">
    <w:name w:val="章正文"/>
    <w:basedOn w:val="1"/>
    <w:qFormat/>
    <w:uiPriority w:val="0"/>
    <w:pPr>
      <w:spacing w:beforeLines="50" w:after="120" w:line="300" w:lineRule="auto"/>
      <w:ind w:firstLine="480"/>
    </w:pPr>
    <w:rPr>
      <w:rFonts w:ascii="Helvetica" w:hAnsi="Helvetica"/>
      <w:kern w:val="0"/>
      <w:sz w:val="24"/>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4、正文"/>
    <w:basedOn w:val="1"/>
    <w:qFormat/>
    <w:uiPriority w:val="0"/>
    <w:pPr>
      <w:ind w:firstLine="200" w:firstLineChars="200"/>
    </w:pPr>
    <w:rPr>
      <w:rFonts w:ascii="宋体"/>
      <w:sz w:val="24"/>
      <w:szCs w:val="28"/>
    </w:rPr>
  </w:style>
  <w:style w:type="paragraph" w:customStyle="1" w:styleId="34">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5">
    <w:name w:val="List Paragraph"/>
    <w:basedOn w:val="1"/>
    <w:qFormat/>
    <w:uiPriority w:val="34"/>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6"/>
    <w:qFormat/>
    <w:uiPriority w:val="0"/>
    <w:rPr>
      <w:rFonts w:hint="default" w:ascii="Arial" w:hAnsi="Arial" w:cs="Arial"/>
      <w:color w:val="000000"/>
      <w:sz w:val="20"/>
      <w:szCs w:val="20"/>
      <w:u w:val="none"/>
    </w:rPr>
  </w:style>
  <w:style w:type="character" w:customStyle="1" w:styleId="51">
    <w:name w:val="font01"/>
    <w:basedOn w:val="26"/>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Char"/>
    <w:basedOn w:val="26"/>
    <w:link w:val="13"/>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qFormat/>
    <w:uiPriority w:val="0"/>
    <w:pPr>
      <w:spacing w:line="360" w:lineRule="auto"/>
      <w:ind w:firstLine="200" w:firstLineChars="200"/>
    </w:pPr>
    <w:rPr>
      <w:rFonts w:eastAsia="仿宋"/>
      <w:sz w:val="28"/>
    </w:rPr>
  </w:style>
  <w:style w:type="paragraph" w:customStyle="1" w:styleId="63">
    <w:name w:val="Normal Indent1"/>
    <w:basedOn w:val="1"/>
    <w:qFormat/>
    <w:uiPriority w:val="0"/>
    <w:pPr>
      <w:ind w:firstLine="420" w:firstLineChars="200"/>
    </w:pPr>
  </w:style>
  <w:style w:type="paragraph" w:customStyle="1" w:styleId="64">
    <w:name w:val="表格文字"/>
    <w:basedOn w:val="1"/>
    <w:next w:val="8"/>
    <w:qFormat/>
    <w:uiPriority w:val="0"/>
    <w:pPr>
      <w:jc w:val="left"/>
      <w:textAlignment w:val="top"/>
    </w:pPr>
    <w:rPr>
      <w:sz w:val="18"/>
    </w:rPr>
  </w:style>
  <w:style w:type="paragraph" w:customStyle="1" w:styleId="6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签发人"/>
    <w:basedOn w:val="1"/>
    <w:qFormat/>
    <w:uiPriority w:val="0"/>
    <w:rPr>
      <w:rFonts w:eastAsia="楷体"/>
      <w:sz w:val="32"/>
    </w:rPr>
  </w:style>
  <w:style w:type="paragraph" w:customStyle="1" w:styleId="6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0">
    <w:name w:val="标题 3 Char"/>
    <w:link w:val="4"/>
    <w:qFormat/>
    <w:locked/>
    <w:uiPriority w:val="99"/>
    <w:rPr>
      <w:bCs/>
      <w:szCs w:val="32"/>
    </w:rPr>
  </w:style>
  <w:style w:type="paragraph" w:customStyle="1" w:styleId="71">
    <w:name w:val="样式 首行缩进:  2 字符"/>
    <w:basedOn w:val="1"/>
    <w:qFormat/>
    <w:uiPriority w:val="0"/>
    <w:pPr>
      <w:autoSpaceDE w:val="0"/>
      <w:autoSpaceDN w:val="0"/>
      <w:adjustRightInd w:val="0"/>
      <w:snapToGrid w:val="0"/>
      <w:ind w:firstLine="480"/>
    </w:pPr>
    <w:rPr>
      <w:rFonts w:ascii="Microsoft Sans Serif" w:hAnsi="Microsoft Sans Serif" w:cs="宋体"/>
      <w:sz w:val="24"/>
    </w:rPr>
  </w:style>
  <w:style w:type="paragraph" w:customStyle="1" w:styleId="72">
    <w:name w:val="首行缩进"/>
    <w:basedOn w:val="1"/>
    <w:qFormat/>
    <w:uiPriority w:val="0"/>
    <w:pPr>
      <w:spacing w:line="360" w:lineRule="auto"/>
      <w:ind w:firstLine="480" w:firstLineChars="200"/>
    </w:pPr>
    <w:rPr>
      <w:rFonts w:hAnsi="宋体" w:cs="宋体"/>
      <w:sz w:val="24"/>
    </w:rPr>
  </w:style>
  <w:style w:type="paragraph" w:customStyle="1" w:styleId="73">
    <w:name w:val="￥正文"/>
    <w:basedOn w:val="1"/>
    <w:qFormat/>
    <w:uiPriority w:val="0"/>
    <w:pPr>
      <w:spacing w:line="360" w:lineRule="auto"/>
      <w:ind w:firstLine="420" w:firstLineChars="200"/>
      <w:jc w:val="left"/>
    </w:pPr>
    <w:rPr>
      <w:rFonts w:ascii="宋体" w:hAnsi="宋体" w:cs="黑体"/>
      <w:szCs w:val="21"/>
    </w:rPr>
  </w:style>
  <w:style w:type="paragraph" w:customStyle="1" w:styleId="74">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5">
    <w:name w:val="索引 11"/>
    <w:basedOn w:val="1"/>
    <w:next w:val="1"/>
    <w:qFormat/>
    <w:uiPriority w:val="99"/>
    <w:pPr>
      <w:spacing w:line="360" w:lineRule="auto"/>
    </w:pPr>
    <w:rPr>
      <w:rFonts w:ascii="FangSong_GB2312" w:eastAsia="FangSong_GB2312"/>
      <w:sz w:val="24"/>
      <w:szCs w:val="20"/>
    </w:rPr>
  </w:style>
  <w:style w:type="paragraph" w:customStyle="1" w:styleId="76">
    <w:name w:val="text-tag"/>
    <w:basedOn w:val="1"/>
    <w:qFormat/>
    <w:uiPriority w:val="99"/>
    <w:pPr>
      <w:widowControl/>
      <w:spacing w:before="100" w:beforeAutospacing="1" w:after="100" w:afterAutospacing="1"/>
      <w:jc w:val="left"/>
    </w:pPr>
    <w:rPr>
      <w:rFonts w:ascii="宋体" w:hAnsi="宋体" w:cs="宋体"/>
      <w:kern w:val="0"/>
      <w:sz w:val="24"/>
    </w:rPr>
  </w:style>
  <w:style w:type="character" w:customStyle="1" w:styleId="77">
    <w:name w:val="10"/>
    <w:basedOn w:val="26"/>
    <w:qFormat/>
    <w:uiPriority w:val="0"/>
    <w:rPr>
      <w:rFonts w:hint="default" w:ascii="Calibri" w:hAnsi="Calibri" w:cs="Calibri"/>
    </w:rPr>
  </w:style>
  <w:style w:type="character" w:customStyle="1" w:styleId="78">
    <w:name w:val="15"/>
    <w:basedOn w:val="26"/>
    <w:qFormat/>
    <w:uiPriority w:val="0"/>
    <w:rPr>
      <w:rFonts w:hint="default" w:ascii="Calibri" w:hAnsi="Calibri" w:cs="Calibri"/>
      <w:sz w:val="16"/>
      <w:szCs w:val="16"/>
    </w:rPr>
  </w:style>
  <w:style w:type="character" w:customStyle="1" w:styleId="79">
    <w:name w:val="font11"/>
    <w:basedOn w:val="26"/>
    <w:qFormat/>
    <w:uiPriority w:val="0"/>
    <w:rPr>
      <w:rFonts w:hint="eastAsia" w:ascii="宋体" w:hAnsi="宋体" w:eastAsia="宋体" w:cs="宋体"/>
      <w:color w:val="000000"/>
      <w:sz w:val="21"/>
      <w:szCs w:val="21"/>
      <w:u w:val="none"/>
    </w:rPr>
  </w:style>
  <w:style w:type="paragraph" w:customStyle="1" w:styleId="80">
    <w:name w:val="正文文本首行缩进1"/>
    <w:basedOn w:val="8"/>
    <w:qFormat/>
    <w:uiPriority w:val="0"/>
    <w:pPr>
      <w:ind w:firstLine="420" w:firstLineChars="100"/>
    </w:pPr>
    <w:rPr>
      <w:szCs w:val="21"/>
    </w:rPr>
  </w:style>
  <w:style w:type="paragraph" w:customStyle="1" w:styleId="81">
    <w:name w:val="Table Text"/>
    <w:basedOn w:val="1"/>
    <w:semiHidden/>
    <w:qFormat/>
    <w:uiPriority w:val="0"/>
    <w:rPr>
      <w:rFonts w:ascii="微软雅黑" w:hAnsi="微软雅黑" w:eastAsia="微软雅黑" w:cs="微软雅黑"/>
      <w:sz w:val="24"/>
      <w:lang w:eastAsia="en-US"/>
    </w:rPr>
  </w:style>
  <w:style w:type="character" w:customStyle="1" w:styleId="82">
    <w:name w:val="NormalCharacter"/>
    <w:link w:val="83"/>
    <w:qFormat/>
    <w:uiPriority w:val="0"/>
    <w:rPr>
      <w:rFonts w:ascii="黑体" w:eastAsia="黑体"/>
      <w:kern w:val="0"/>
      <w:sz w:val="24"/>
      <w:szCs w:val="20"/>
      <w:lang w:val="en-US" w:eastAsia="zh-CN" w:bidi="ar-SA"/>
    </w:rPr>
  </w:style>
  <w:style w:type="paragraph" w:customStyle="1" w:styleId="83">
    <w:name w:val="UserStyle_23"/>
    <w:basedOn w:val="1"/>
    <w:link w:val="82"/>
    <w:qFormat/>
    <w:uiPriority w:val="0"/>
    <w:pPr>
      <w:textAlignment w:val="baseline"/>
    </w:pPr>
    <w:rPr>
      <w:rFonts w:ascii="黑体" w:eastAsia="黑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54</Pages>
  <Words>4306</Words>
  <Characters>5110</Characters>
  <Lines>211</Lines>
  <Paragraphs>59</Paragraphs>
  <TotalTime>49</TotalTime>
  <ScaleCrop>false</ScaleCrop>
  <LinksUpToDate>false</LinksUpToDate>
  <CharactersWithSpaces>5196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2022-03-10T14:17:00Z</dcterms:created>
  <dc:creator>Thorpe521</dc:creator>
  <cp:lastModifiedBy>洗尽铅华</cp:lastModifiedBy>
  <cp:lastPrinted>2025-06-06T08:32:00Z</cp:lastPrinted>
  <dcterms:modified xsi:type="dcterms:W3CDTF">2025-08-01T01:39:08Z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B25EEFB86250423B8E94142445C3D4A9_13</vt:lpwstr>
  </property>
  <property fmtid="{D5CDD505-2E9C-101B-9397-08002B2CF9AE}" pid="4" name="KSOTemplateDocerSaveRecord">
    <vt:lpwstr>eyJoZGlkIjoiZGMyMjRhNDc2YzU0NDViNmNjYjNhYjBiMjUwY2M2YjEiLCJ1c2VySWQiOiIzMDI0ODg5NDIifQ==</vt:lpwstr>
  </property>
</Properties>
</file>