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center"/>
        <w:rPr>
          <w:rFonts w:ascii="微软雅黑" w:hAnsi="微软雅黑" w:eastAsia="微软雅黑" w:cs="微软雅黑"/>
          <w:i w:val="0"/>
          <w:iCs w:val="0"/>
          <w:caps w:val="0"/>
          <w:color w:val="333333"/>
          <w:spacing w:val="0"/>
          <w:sz w:val="21"/>
          <w:szCs w:val="21"/>
        </w:rPr>
      </w:pPr>
      <w:r>
        <w:rPr>
          <w:rFonts w:ascii="微软雅黑" w:hAnsi="微软雅黑" w:eastAsia="微软雅黑" w:cs="微软雅黑"/>
          <w:i w:val="0"/>
          <w:iCs w:val="0"/>
          <w:caps w:val="0"/>
          <w:color w:val="333333"/>
          <w:spacing w:val="-20"/>
          <w:kern w:val="0"/>
          <w:sz w:val="42"/>
          <w:szCs w:val="42"/>
          <w:shd w:val="clear" w:fill="FFFFFF"/>
          <w:lang w:val="en-US" w:eastAsia="zh-CN" w:bidi="ar"/>
        </w:rPr>
        <w:t>苏通第二过江通道北接线房屋征迁项目</w:t>
      </w:r>
      <w:r>
        <w:rPr>
          <w:rFonts w:hint="eastAsia" w:ascii="微软雅黑" w:hAnsi="微软雅黑" w:eastAsia="微软雅黑" w:cs="微软雅黑"/>
          <w:i w:val="0"/>
          <w:iCs w:val="0"/>
          <w:caps w:val="0"/>
          <w:color w:val="333333"/>
          <w:spacing w:val="-20"/>
          <w:kern w:val="0"/>
          <w:sz w:val="42"/>
          <w:szCs w:val="42"/>
          <w:shd w:val="clear" w:fill="FFFFFF"/>
          <w:lang w:val="en-US" w:eastAsia="zh-CN" w:bidi="ar"/>
        </w:rPr>
        <w:t>(中兴段)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center"/>
        <w:rPr>
          <w:rFonts w:hint="eastAsia" w:ascii="微软雅黑" w:hAnsi="微软雅黑" w:eastAsia="微软雅黑" w:cs="微软雅黑"/>
          <w:i w:val="0"/>
          <w:iCs w:val="0"/>
          <w:caps w:val="0"/>
          <w:color w:val="333333"/>
          <w:spacing w:val="0"/>
          <w:sz w:val="21"/>
          <w:szCs w:val="21"/>
          <w:highlight w:val="none"/>
        </w:rPr>
      </w:pPr>
      <w:r>
        <w:rPr>
          <w:rFonts w:hint="eastAsia" w:ascii="微软雅黑" w:hAnsi="微软雅黑" w:eastAsia="微软雅黑" w:cs="微软雅黑"/>
          <w:i w:val="0"/>
          <w:iCs w:val="0"/>
          <w:caps w:val="0"/>
          <w:color w:val="333333"/>
          <w:spacing w:val="-20"/>
          <w:kern w:val="0"/>
          <w:sz w:val="42"/>
          <w:szCs w:val="42"/>
          <w:highlight w:val="none"/>
          <w:shd w:val="clear" w:fill="FFFFFF"/>
          <w:lang w:val="en-US" w:eastAsia="zh-CN" w:bidi="ar"/>
        </w:rPr>
        <w:t>征收服务单位招标公告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仿宋" w:hAnsi="仿宋" w:eastAsia="仿宋" w:cs="仿宋"/>
          <w:i w:val="0"/>
          <w:iCs w:val="0"/>
          <w:caps w:val="0"/>
          <w:color w:val="auto"/>
          <w:spacing w:val="0"/>
          <w:kern w:val="0"/>
          <w:sz w:val="32"/>
          <w:szCs w:val="32"/>
          <w:highlight w:val="none"/>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为确保按期、保质、顺利实施苏通第二过江通道北接线房屋征迁工程(中兴段)，现招标5家征收服务公司。相关事宜公告如下：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ascii="国标宋体" w:hAnsi="国标宋体" w:eastAsia="国标宋体" w:cs="国标宋体"/>
          <w:b/>
          <w:bCs/>
          <w:i w:val="0"/>
          <w:iCs w:val="0"/>
          <w:caps w:val="0"/>
          <w:color w:val="333333"/>
          <w:spacing w:val="0"/>
          <w:kern w:val="0"/>
          <w:sz w:val="32"/>
          <w:szCs w:val="32"/>
          <w:shd w:val="clear" w:fill="FFFFFF"/>
          <w:lang w:val="en-US" w:eastAsia="zh-CN" w:bidi="ar"/>
        </w:rPr>
        <w:t>一、招标人：</w:t>
      </w:r>
      <w:r>
        <w:rPr>
          <w:rFonts w:hint="eastAsia" w:ascii="仿宋" w:hAnsi="仿宋" w:eastAsia="仿宋" w:cs="仿宋"/>
          <w:i w:val="0"/>
          <w:iCs w:val="0"/>
          <w:caps w:val="0"/>
          <w:color w:val="auto"/>
          <w:spacing w:val="0"/>
          <w:kern w:val="0"/>
          <w:sz w:val="32"/>
          <w:szCs w:val="32"/>
          <w:highlight w:val="none"/>
          <w:shd w:val="clear" w:fill="FFFFFF"/>
          <w:lang w:val="en-US" w:eastAsia="zh-CN" w:bidi="ar"/>
        </w:rPr>
        <w:t>南通市中兴街道办事处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jc w:val="left"/>
        <w:textAlignment w:val="auto"/>
        <w:rPr>
          <w:rFonts w:hint="eastAsia" w:ascii="微软雅黑" w:hAnsi="微软雅黑" w:eastAsia="微软雅黑" w:cs="微软雅黑"/>
          <w:i w:val="0"/>
          <w:iCs w:val="0"/>
          <w:caps w:val="0"/>
          <w:color w:val="333333"/>
          <w:spacing w:val="0"/>
          <w:sz w:val="21"/>
          <w:szCs w:val="21"/>
        </w:rPr>
      </w:pPr>
      <w:r>
        <w:rPr>
          <w:rFonts w:hint="default" w:ascii="国标宋体" w:hAnsi="国标宋体" w:eastAsia="国标宋体" w:cs="国标宋体"/>
          <w:b/>
          <w:bCs/>
          <w:i w:val="0"/>
          <w:iCs w:val="0"/>
          <w:caps w:val="0"/>
          <w:color w:val="333333"/>
          <w:spacing w:val="0"/>
          <w:kern w:val="0"/>
          <w:sz w:val="32"/>
          <w:szCs w:val="32"/>
          <w:shd w:val="clear" w:fill="FFFFFF"/>
          <w:lang w:val="en-US" w:eastAsia="zh-CN" w:bidi="ar"/>
        </w:rPr>
        <w:t>二、项目概况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1、本项目坐落：起点源兴路与滨水路</w:t>
      </w:r>
      <w:r>
        <w:rPr>
          <w:rFonts w:hint="eastAsia" w:ascii="仿宋" w:hAnsi="仿宋" w:eastAsia="仿宋" w:cs="仿宋"/>
          <w:i w:val="0"/>
          <w:iCs w:val="0"/>
          <w:caps w:val="0"/>
          <w:color w:val="auto"/>
          <w:spacing w:val="0"/>
          <w:kern w:val="0"/>
          <w:sz w:val="32"/>
          <w:szCs w:val="32"/>
          <w:highlight w:val="none"/>
          <w:shd w:val="clear" w:fill="FFFFFF"/>
          <w:lang w:val="en-US" w:eastAsia="zh-CN" w:bidi="ar"/>
        </w:rPr>
        <w:t>交叉口、终点二通道北锚碇</w:t>
      </w:r>
      <w:r>
        <w:rPr>
          <w:rFonts w:hint="eastAsia" w:ascii="仿宋" w:hAnsi="仿宋" w:eastAsia="仿宋" w:cs="仿宋"/>
          <w:i w:val="0"/>
          <w:iCs w:val="0"/>
          <w:caps w:val="0"/>
          <w:color w:val="auto"/>
          <w:spacing w:val="0"/>
          <w:kern w:val="0"/>
          <w:sz w:val="32"/>
          <w:szCs w:val="32"/>
          <w:highlight w:val="none"/>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jc w:val="left"/>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2、实施时间初定于2026年4月13日至2027年12月31日（具体实施时间以招标人通知为准）。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3、本项目招标确定5家征收服务公司完成房屋征迁。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4、本项目旧房拆除由中标单位在规定期限内完成，按拆除方案标准执行。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5、本项目旧房残值按中兴街办相关规定执行。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jc w:val="left"/>
        <w:textAlignment w:val="auto"/>
        <w:rPr>
          <w:rFonts w:hint="eastAsia" w:ascii="微软雅黑" w:hAnsi="微软雅黑" w:eastAsia="微软雅黑" w:cs="微软雅黑"/>
          <w:i w:val="0"/>
          <w:iCs w:val="0"/>
          <w:caps w:val="0"/>
          <w:color w:val="333333"/>
          <w:spacing w:val="0"/>
          <w:sz w:val="21"/>
          <w:szCs w:val="21"/>
        </w:rPr>
      </w:pPr>
      <w:r>
        <w:rPr>
          <w:rFonts w:hint="default" w:ascii="国标宋体" w:hAnsi="国标宋体" w:eastAsia="国标宋体" w:cs="国标宋体"/>
          <w:b/>
          <w:bCs/>
          <w:i w:val="0"/>
          <w:iCs w:val="0"/>
          <w:caps w:val="0"/>
          <w:color w:val="333333"/>
          <w:spacing w:val="0"/>
          <w:kern w:val="0"/>
          <w:sz w:val="32"/>
          <w:szCs w:val="32"/>
          <w:shd w:val="clear" w:fill="FFFFFF"/>
          <w:lang w:val="en-US" w:eastAsia="zh-CN" w:bidi="ar"/>
        </w:rPr>
        <w:t>三、投标条件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1、具有南通市住房和城乡建设局2021年后的准入资格</w:t>
      </w:r>
      <w:bookmarkStart w:id="0" w:name="OLE_LINK1"/>
      <w:r>
        <w:rPr>
          <w:rFonts w:hint="eastAsia" w:ascii="仿宋" w:hAnsi="仿宋" w:eastAsia="仿宋" w:cs="仿宋"/>
          <w:i w:val="0"/>
          <w:iCs w:val="0"/>
          <w:caps w:val="0"/>
          <w:color w:val="auto"/>
          <w:spacing w:val="0"/>
          <w:kern w:val="0"/>
          <w:sz w:val="32"/>
          <w:szCs w:val="32"/>
          <w:highlight w:val="none"/>
          <w:shd w:val="clear" w:fill="FFFFFF"/>
          <w:lang w:val="en-US" w:eastAsia="zh-CN" w:bidi="ar"/>
        </w:rPr>
        <w:t>或南通开发区住房和城乡建设局2021年后准入资格的征收公司</w:t>
      </w:r>
      <w:bookmarkEnd w:id="0"/>
      <w:r>
        <w:rPr>
          <w:rFonts w:hint="eastAsia" w:ascii="仿宋" w:hAnsi="仿宋" w:eastAsia="仿宋" w:cs="仿宋"/>
          <w:i w:val="0"/>
          <w:iCs w:val="0"/>
          <w:caps w:val="0"/>
          <w:color w:val="auto"/>
          <w:spacing w:val="0"/>
          <w:kern w:val="0"/>
          <w:sz w:val="32"/>
          <w:szCs w:val="32"/>
          <w:highlight w:val="none"/>
          <w:shd w:val="clear" w:fill="FFFFFF"/>
          <w:lang w:val="en-US" w:eastAsia="zh-CN" w:bidi="ar"/>
        </w:rPr>
        <w:t>，公司需配备一名安全员（具有安全管理资格证书）。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2、派驻本项目的所有工作人员须持南通市、区住建部门颁发的上岗证，有从业经验，工作人员人数不得少于4人，其中一名副总经理以上担任项目经理、3名拆迁工作人员。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jc w:val="left"/>
        <w:textAlignment w:val="auto"/>
        <w:rPr>
          <w:rFonts w:hint="eastAsia" w:ascii="仿宋" w:hAnsi="仿宋" w:eastAsia="仿宋" w:cs="Times New Roman"/>
          <w:b/>
          <w:bCs/>
          <w:color w:val="auto"/>
          <w:sz w:val="32"/>
          <w:szCs w:val="32"/>
          <w14:ligatures w14:val="none"/>
        </w:rPr>
      </w:pPr>
      <w:r>
        <w:rPr>
          <w:rFonts w:hint="eastAsia" w:ascii="仿宋" w:hAnsi="仿宋" w:eastAsia="仿宋" w:cs="Times New Roman"/>
          <w:b/>
          <w:bCs/>
          <w:color w:val="auto"/>
          <w:sz w:val="32"/>
          <w:szCs w:val="32"/>
          <w14:ligatures w14:val="none"/>
        </w:rPr>
        <w:t>特别提醒：①投标时拟派的工作人员需提供有效的上岗证副本原件</w:t>
      </w:r>
      <w:bookmarkStart w:id="1" w:name="OLE_LINK4"/>
      <w:bookmarkStart w:id="2" w:name="_Hlk215302118"/>
      <w:r>
        <w:rPr>
          <w:rFonts w:hint="eastAsia" w:ascii="仿宋" w:hAnsi="仿宋" w:eastAsia="仿宋" w:cs="Times New Roman"/>
          <w:b/>
          <w:bCs/>
          <w:color w:val="auto"/>
          <w:sz w:val="32"/>
          <w:szCs w:val="32"/>
          <w14:ligatures w14:val="none"/>
        </w:rPr>
        <w:t>以及工作人员与投标企业双方签订的有效劳动合同书复印件</w:t>
      </w:r>
      <w:bookmarkEnd w:id="1"/>
      <w:r>
        <w:rPr>
          <w:rFonts w:hint="eastAsia" w:ascii="仿宋" w:hAnsi="仿宋" w:eastAsia="仿宋" w:cs="Times New Roman"/>
          <w:b/>
          <w:bCs/>
          <w:color w:val="auto"/>
          <w:sz w:val="32"/>
          <w:szCs w:val="32"/>
          <w14:ligatures w14:val="none"/>
        </w:rPr>
        <w:t>；②拟派安全员须提供安全管理资格证书复印件。</w:t>
      </w:r>
      <w:bookmarkEnd w:id="2"/>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3、投标单位需缴纳投标保证金10万元，未中标单位三个工作日内原额退还，中标单位自动转为履约保证金。履约保证金为非保证上限，征收服务公司仍需承担法律和经济的应有责任。待本项目审计结束，如无违规违约处罚的，保证金原额退还，如有违规违约处罚的，相应扣减后退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jc w:val="left"/>
        <w:textAlignment w:val="auto"/>
        <w:rPr>
          <w:rFonts w:hint="eastAsia" w:ascii="微软雅黑" w:hAnsi="微软雅黑" w:eastAsia="微软雅黑" w:cs="微软雅黑"/>
          <w:i w:val="0"/>
          <w:iCs w:val="0"/>
          <w:caps w:val="0"/>
          <w:color w:val="333333"/>
          <w:spacing w:val="0"/>
          <w:sz w:val="21"/>
          <w:szCs w:val="21"/>
        </w:rPr>
      </w:pPr>
      <w:r>
        <w:rPr>
          <w:rFonts w:hint="default" w:ascii="国标宋体" w:hAnsi="国标宋体" w:eastAsia="国标宋体" w:cs="国标宋体"/>
          <w:b/>
          <w:bCs/>
          <w:i w:val="0"/>
          <w:iCs w:val="0"/>
          <w:caps w:val="0"/>
          <w:color w:val="333333"/>
          <w:spacing w:val="0"/>
          <w:kern w:val="0"/>
          <w:sz w:val="32"/>
          <w:szCs w:val="32"/>
          <w:shd w:val="clear" w:fill="FFFFFF"/>
          <w:lang w:val="en-US" w:eastAsia="zh-CN" w:bidi="ar"/>
        </w:rPr>
        <w:t>四、具有下列情形的不得参与本次招标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1、被列入廉政建设黑名单的单位；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2、行业主管部门责令停牌期内的单位或纪监委建议停牌的单位；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3、被列入扫黑除恶整治对象的单位；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4、投标企业处于责令停业的；两年内有串通投标、骗取中标等违法记录的；“信用中国”记录为失信被执行人的；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5、招标公告前一年内在房屋拆除作业中发生过安全生产责任事故的单位。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jc w:val="left"/>
        <w:textAlignment w:val="auto"/>
        <w:rPr>
          <w:rFonts w:hint="eastAsia" w:ascii="微软雅黑" w:hAnsi="微软雅黑" w:eastAsia="微软雅黑" w:cs="微软雅黑"/>
          <w:i w:val="0"/>
          <w:iCs w:val="0"/>
          <w:caps w:val="0"/>
          <w:color w:val="333333"/>
          <w:spacing w:val="0"/>
          <w:sz w:val="21"/>
          <w:szCs w:val="21"/>
        </w:rPr>
      </w:pPr>
      <w:r>
        <w:rPr>
          <w:rFonts w:hint="default" w:ascii="国标宋体" w:hAnsi="国标宋体" w:eastAsia="国标宋体" w:cs="国标宋体"/>
          <w:b/>
          <w:bCs/>
          <w:i w:val="0"/>
          <w:iCs w:val="0"/>
          <w:caps w:val="0"/>
          <w:color w:val="333333"/>
          <w:spacing w:val="0"/>
          <w:kern w:val="0"/>
          <w:sz w:val="32"/>
          <w:szCs w:val="32"/>
          <w:shd w:val="clear" w:fill="FFFFFF"/>
          <w:lang w:val="en-US" w:eastAsia="zh-CN" w:bidi="ar"/>
        </w:rPr>
        <w:t>五、对服务单位的具体要求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1、按期完成。征收服务单位必须在规定的时限内完成相应工作。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2、签约质量。洽谈拆迁协议前与评估单位办理评估结果的书面交接，协议内容、补偿额要符合评估结果和本项目方案规定，不得擅自超过评估结果签订拆迁协议；签订的拆迁合同要符合国家相关法律法规的规定；签约后及时向业主代理单位报送协议及相关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3、文明廉洁拆迁。工作人员带证上岗，无证人员不得参与拆迁谈判和现场管理；文明洽谈，依法签约，不得使用暴力、违法犯罪手段胁迫签约；实施文明工地管理，查清拆迁地块各类管线位置，保证管线安全，拆除过程不得损坏管线、不得污染环境；房屋拆除期间，现场设置扬尘防治设施，避免扬尘污染空气和周围环境；不得收受被拆迁人贿赂或与被拆迁人串通谋取不当利益，不得弄虚作假，如经核实有以上行为的，征收公司承担民事赔偿，并追究法律责任；在被拆企业搬离过程中提供力所能及的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4、安全管理。房屋拆除招标具有相应资质和安全作业条件的施工单位实施拆除；实施拆除前按照《建设工程安全生产管理条例》、《江苏省房屋建筑和市政基础设施拆除开挖安全管理办法》的规定，制定拆除施工方案，并报开发区住建局审批；派专职安全员进行现场拆房安全管理或聘请具有安全生产监管资质的公司，对拆除安全的相关手续和现场进行监督管理；接受所在街道、业主代理单位、区安全监管职能部门的安全监管，按要求落实拆房安全措施；承担拆房安全生产事故中应承担的法律责任和经济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5、建筑垃圾处置。建筑物拆除以后的建筑垃圾不得擅自处理，统一运送至区回收点。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6、竣工验收和资料归档。在工期实施过程中和结束后及时向业主代理单位提交所有工程资料（具体内容在委托合同中明确），申请竣工验收。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7、审计结算。竣工验收合格后配合业主代理单位进行审计结算，待完成审计后结清相关费用。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jc w:val="left"/>
        <w:textAlignment w:val="auto"/>
        <w:rPr>
          <w:rFonts w:hint="eastAsia" w:ascii="微软雅黑" w:hAnsi="微软雅黑" w:eastAsia="微软雅黑" w:cs="微软雅黑"/>
          <w:i w:val="0"/>
          <w:iCs w:val="0"/>
          <w:caps w:val="0"/>
          <w:color w:val="333333"/>
          <w:spacing w:val="0"/>
          <w:sz w:val="21"/>
          <w:szCs w:val="21"/>
        </w:rPr>
      </w:pPr>
      <w:r>
        <w:rPr>
          <w:rFonts w:hint="default" w:ascii="国标宋体" w:hAnsi="国标宋体" w:eastAsia="国标宋体" w:cs="国标宋体"/>
          <w:b/>
          <w:bCs/>
          <w:i w:val="0"/>
          <w:iCs w:val="0"/>
          <w:caps w:val="0"/>
          <w:color w:val="333333"/>
          <w:spacing w:val="0"/>
          <w:kern w:val="0"/>
          <w:sz w:val="32"/>
          <w:szCs w:val="32"/>
          <w:shd w:val="clear" w:fill="FFFFFF"/>
          <w:lang w:val="en-US" w:eastAsia="zh-CN" w:bidi="ar"/>
        </w:rPr>
        <w:t>六、服务费标准、支付方式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1、服务费按标段计费（以评估报告为准），以评估结果总额为取费基数（含房屋、土地、附属物、可搬迁设备补偿、停业停产、搬迁费、停业停产增补，不含相关奖励费和非居一次性补贴等其他费用），按分段差额累进费率计费，并设置封顶数。</w:t>
      </w:r>
    </w:p>
    <w:tbl>
      <w:tblPr>
        <w:tblStyle w:val="2"/>
        <w:tblW w:w="852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183"/>
        <w:gridCol w:w="4256"/>
        <w:gridCol w:w="904"/>
        <w:gridCol w:w="117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5" w:hRule="atLeast"/>
          <w:tblHeader/>
          <w:jc w:val="center"/>
        </w:trPr>
        <w:tc>
          <w:tcPr>
            <w:tcW w:w="218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leftChars="0" w:right="0" w:rightChars="0" w:firstLine="0" w:firstLineChars="0"/>
              <w:jc w:val="left"/>
              <w:textAlignment w:val="auto"/>
              <w:rPr>
                <w:rFonts w:ascii="仿宋" w:eastAsia="仿宋"/>
                <w:b/>
                <w:sz w:val="30"/>
                <w:szCs w:val="30"/>
              </w:rPr>
            </w:pPr>
            <w:r>
              <w:rPr>
                <w:rFonts w:hint="eastAsia" w:ascii="仿宋" w:hAnsi="仿宋" w:eastAsia="仿宋" w:cs="仿宋"/>
                <w:b/>
                <w:kern w:val="0"/>
                <w:sz w:val="30"/>
                <w:szCs w:val="30"/>
                <w:lang w:val="en-US" w:eastAsia="zh-CN" w:bidi="ar"/>
              </w:rPr>
              <w:t>单位名称</w:t>
            </w:r>
          </w:p>
        </w:tc>
        <w:tc>
          <w:tcPr>
            <w:tcW w:w="425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leftChars="0" w:right="0" w:rightChars="0" w:firstLine="0" w:firstLineChars="0"/>
              <w:jc w:val="left"/>
              <w:textAlignment w:val="auto"/>
              <w:rPr>
                <w:rFonts w:ascii="仿宋" w:eastAsia="仿宋"/>
                <w:b/>
                <w:sz w:val="30"/>
                <w:szCs w:val="30"/>
              </w:rPr>
            </w:pPr>
            <w:r>
              <w:rPr>
                <w:rFonts w:hint="eastAsia" w:ascii="仿宋" w:hAnsi="仿宋" w:eastAsia="仿宋" w:cs="仿宋"/>
                <w:b/>
                <w:kern w:val="0"/>
                <w:sz w:val="30"/>
                <w:szCs w:val="30"/>
                <w:lang w:val="en-US" w:eastAsia="zh-CN" w:bidi="ar"/>
              </w:rPr>
              <w:t>分段标准</w:t>
            </w:r>
          </w:p>
        </w:tc>
        <w:tc>
          <w:tcPr>
            <w:tcW w:w="90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leftChars="0" w:right="0" w:rightChars="0" w:firstLine="0" w:firstLineChars="0"/>
              <w:jc w:val="left"/>
              <w:textAlignment w:val="auto"/>
              <w:rPr>
                <w:rFonts w:ascii="仿宋" w:eastAsia="仿宋"/>
                <w:b/>
                <w:sz w:val="30"/>
                <w:szCs w:val="30"/>
              </w:rPr>
            </w:pPr>
            <w:r>
              <w:rPr>
                <w:rFonts w:hint="eastAsia" w:ascii="仿宋" w:hAnsi="仿宋" w:eastAsia="仿宋" w:cs="仿宋"/>
                <w:b/>
                <w:kern w:val="0"/>
                <w:sz w:val="30"/>
                <w:szCs w:val="30"/>
                <w:lang w:val="en-US" w:eastAsia="zh-CN" w:bidi="ar"/>
              </w:rPr>
              <w:t>费率</w:t>
            </w:r>
          </w:p>
        </w:tc>
        <w:tc>
          <w:tcPr>
            <w:tcW w:w="117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leftChars="0" w:right="0" w:rightChars="0" w:firstLine="0" w:firstLineChars="0"/>
              <w:jc w:val="left"/>
              <w:textAlignment w:val="auto"/>
              <w:rPr>
                <w:rFonts w:ascii="仿宋" w:eastAsia="仿宋"/>
                <w:b/>
                <w:sz w:val="30"/>
                <w:szCs w:val="30"/>
              </w:rPr>
            </w:pPr>
            <w:r>
              <w:rPr>
                <w:rFonts w:hint="eastAsia" w:ascii="仿宋" w:hAnsi="仿宋" w:eastAsia="仿宋" w:cs="仿宋"/>
                <w:b/>
                <w:kern w:val="0"/>
                <w:sz w:val="30"/>
                <w:szCs w:val="30"/>
                <w:lang w:val="en-US" w:eastAsia="zh-CN" w:bidi="ar"/>
              </w:rPr>
              <w:t>封顶数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9" w:hRule="atLeast"/>
          <w:jc w:val="center"/>
        </w:trPr>
        <w:tc>
          <w:tcPr>
            <w:tcW w:w="2183"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leftChars="0" w:right="0" w:rightChars="0" w:firstLine="0" w:firstLineChars="0"/>
              <w:jc w:val="left"/>
              <w:textAlignment w:val="auto"/>
              <w:rPr>
                <w:rFonts w:ascii="仿宋" w:eastAsia="仿宋"/>
                <w:sz w:val="30"/>
                <w:szCs w:val="30"/>
              </w:rPr>
            </w:pPr>
            <w:r>
              <w:rPr>
                <w:rFonts w:hint="eastAsia" w:ascii="仿宋" w:hAnsi="仿宋" w:eastAsia="仿宋" w:cs="仿宋"/>
                <w:kern w:val="0"/>
                <w:sz w:val="30"/>
                <w:szCs w:val="30"/>
                <w:lang w:val="en-US" w:eastAsia="zh-CN" w:bidi="ar"/>
              </w:rPr>
              <w:t>拆迁服务单位</w:t>
            </w:r>
          </w:p>
        </w:tc>
        <w:tc>
          <w:tcPr>
            <w:tcW w:w="42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leftChars="0" w:right="0" w:rightChars="0" w:firstLine="0" w:firstLineChars="0"/>
              <w:jc w:val="left"/>
              <w:textAlignment w:val="auto"/>
              <w:rPr>
                <w:rFonts w:ascii="仿宋" w:eastAsia="仿宋"/>
                <w:sz w:val="30"/>
                <w:szCs w:val="30"/>
              </w:rPr>
            </w:pPr>
            <w:r>
              <w:rPr>
                <w:rFonts w:hint="eastAsia" w:ascii="仿宋" w:hAnsi="仿宋" w:eastAsia="仿宋" w:cs="仿宋"/>
                <w:kern w:val="0"/>
                <w:sz w:val="30"/>
                <w:szCs w:val="30"/>
                <w:lang w:val="en-US" w:eastAsia="zh-CN" w:bidi="ar"/>
              </w:rPr>
              <w:t>200万（含）以下</w:t>
            </w:r>
          </w:p>
        </w:tc>
        <w:tc>
          <w:tcPr>
            <w:tcW w:w="9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leftChars="0" w:right="0" w:rightChars="0" w:firstLine="0" w:firstLineChars="0"/>
              <w:jc w:val="left"/>
              <w:textAlignment w:val="auto"/>
              <w:rPr>
                <w:rFonts w:ascii="仿宋" w:eastAsia="仿宋"/>
                <w:sz w:val="30"/>
                <w:szCs w:val="30"/>
              </w:rPr>
            </w:pPr>
            <w:r>
              <w:rPr>
                <w:rFonts w:hint="eastAsia" w:ascii="仿宋" w:hAnsi="仿宋" w:eastAsia="仿宋" w:cs="仿宋"/>
                <w:kern w:val="0"/>
                <w:sz w:val="30"/>
                <w:szCs w:val="30"/>
                <w:lang w:val="en-US" w:eastAsia="zh-CN" w:bidi="ar"/>
              </w:rPr>
              <w:t>3%</w:t>
            </w:r>
          </w:p>
        </w:tc>
        <w:tc>
          <w:tcPr>
            <w:tcW w:w="1179"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leftChars="0" w:right="0" w:rightChars="0" w:firstLine="0" w:firstLineChars="0"/>
              <w:jc w:val="left"/>
              <w:textAlignment w:val="auto"/>
              <w:rPr>
                <w:rFonts w:ascii="仿宋" w:eastAsia="仿宋"/>
                <w:sz w:val="30"/>
                <w:szCs w:val="30"/>
              </w:rPr>
            </w:pPr>
            <w:r>
              <w:rPr>
                <w:rFonts w:hint="eastAsia" w:ascii="仿宋" w:hAnsi="仿宋" w:eastAsia="仿宋" w:cs="仿宋"/>
                <w:kern w:val="0"/>
                <w:sz w:val="30"/>
                <w:szCs w:val="30"/>
                <w:lang w:val="en-US" w:eastAsia="zh-CN" w:bidi="ar"/>
              </w:rPr>
              <w:t>45万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8" w:hRule="atLeast"/>
          <w:jc w:val="center"/>
        </w:trPr>
        <w:tc>
          <w:tcPr>
            <w:tcW w:w="2183"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val="0"/>
              <w:spacing w:line="520" w:lineRule="exact"/>
              <w:ind w:left="0" w:leftChars="0" w:right="0" w:rightChars="0" w:firstLine="0" w:firstLineChars="0"/>
              <w:jc w:val="left"/>
              <w:textAlignment w:val="auto"/>
              <w:rPr>
                <w:rFonts w:hint="eastAsia" w:ascii="仿宋" w:eastAsia="仿宋"/>
                <w:sz w:val="30"/>
                <w:szCs w:val="30"/>
              </w:rPr>
            </w:pPr>
          </w:p>
        </w:tc>
        <w:tc>
          <w:tcPr>
            <w:tcW w:w="42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leftChars="0" w:right="0" w:rightChars="0" w:firstLine="0" w:firstLineChars="0"/>
              <w:jc w:val="left"/>
              <w:textAlignment w:val="auto"/>
              <w:rPr>
                <w:rFonts w:ascii="仿宋" w:eastAsia="仿宋"/>
                <w:sz w:val="30"/>
                <w:szCs w:val="30"/>
              </w:rPr>
            </w:pPr>
            <w:r>
              <w:rPr>
                <w:rFonts w:hint="eastAsia" w:ascii="仿宋" w:hAnsi="仿宋" w:eastAsia="仿宋" w:cs="仿宋"/>
                <w:kern w:val="0"/>
                <w:sz w:val="30"/>
                <w:szCs w:val="30"/>
                <w:lang w:val="en-US" w:eastAsia="zh-CN" w:bidi="ar"/>
              </w:rPr>
              <w:t>200万至1000万元（含）</w:t>
            </w:r>
          </w:p>
        </w:tc>
        <w:tc>
          <w:tcPr>
            <w:tcW w:w="9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leftChars="0" w:right="0" w:rightChars="0" w:firstLine="0" w:firstLineChars="0"/>
              <w:jc w:val="left"/>
              <w:textAlignment w:val="auto"/>
              <w:rPr>
                <w:rFonts w:ascii="仿宋" w:eastAsia="仿宋"/>
                <w:sz w:val="30"/>
                <w:szCs w:val="30"/>
              </w:rPr>
            </w:pPr>
            <w:r>
              <w:rPr>
                <w:rFonts w:hint="eastAsia" w:ascii="仿宋" w:hAnsi="仿宋" w:eastAsia="仿宋" w:cs="仿宋"/>
                <w:kern w:val="0"/>
                <w:sz w:val="30"/>
                <w:szCs w:val="30"/>
                <w:lang w:val="en-US" w:eastAsia="zh-CN" w:bidi="ar"/>
              </w:rPr>
              <w:t>1.5%</w:t>
            </w:r>
          </w:p>
        </w:tc>
        <w:tc>
          <w:tcPr>
            <w:tcW w:w="1179"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val="0"/>
              <w:spacing w:line="520" w:lineRule="exact"/>
              <w:ind w:left="0" w:leftChars="0" w:right="0" w:rightChars="0" w:firstLine="0" w:firstLineChars="0"/>
              <w:jc w:val="left"/>
              <w:textAlignment w:val="auto"/>
              <w:rPr>
                <w:rFonts w:hint="eastAsia" w:ascii="仿宋" w:eastAsia="仿宋"/>
                <w:sz w:val="32"/>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9" w:hRule="atLeast"/>
          <w:jc w:val="center"/>
        </w:trPr>
        <w:tc>
          <w:tcPr>
            <w:tcW w:w="2183"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val="0"/>
              <w:spacing w:line="520" w:lineRule="exact"/>
              <w:ind w:left="0" w:leftChars="0" w:right="0" w:rightChars="0" w:firstLine="0" w:firstLineChars="0"/>
              <w:jc w:val="left"/>
              <w:textAlignment w:val="auto"/>
              <w:rPr>
                <w:rFonts w:hint="eastAsia" w:ascii="仿宋" w:eastAsia="仿宋"/>
                <w:sz w:val="30"/>
                <w:szCs w:val="30"/>
              </w:rPr>
            </w:pPr>
          </w:p>
        </w:tc>
        <w:tc>
          <w:tcPr>
            <w:tcW w:w="42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leftChars="0" w:right="0" w:rightChars="0" w:firstLine="0" w:firstLineChars="0"/>
              <w:jc w:val="left"/>
              <w:textAlignment w:val="auto"/>
              <w:rPr>
                <w:rFonts w:ascii="仿宋" w:eastAsia="仿宋"/>
                <w:sz w:val="30"/>
                <w:szCs w:val="30"/>
              </w:rPr>
            </w:pPr>
            <w:r>
              <w:rPr>
                <w:rFonts w:hint="eastAsia" w:ascii="仿宋" w:hAnsi="仿宋" w:eastAsia="仿宋" w:cs="仿宋"/>
                <w:kern w:val="0"/>
                <w:sz w:val="30"/>
                <w:szCs w:val="30"/>
                <w:lang w:val="en-US" w:eastAsia="zh-CN" w:bidi="ar"/>
              </w:rPr>
              <w:t>1000万至3000万（含）以上</w:t>
            </w:r>
          </w:p>
        </w:tc>
        <w:tc>
          <w:tcPr>
            <w:tcW w:w="9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leftChars="0" w:right="0" w:rightChars="0" w:firstLine="0" w:firstLineChars="0"/>
              <w:jc w:val="left"/>
              <w:textAlignment w:val="auto"/>
              <w:rPr>
                <w:rFonts w:ascii="仿宋" w:eastAsia="仿宋"/>
                <w:sz w:val="30"/>
                <w:szCs w:val="30"/>
              </w:rPr>
            </w:pPr>
            <w:r>
              <w:rPr>
                <w:rFonts w:hint="eastAsia" w:ascii="仿宋" w:hAnsi="仿宋" w:eastAsia="仿宋" w:cs="仿宋"/>
                <w:kern w:val="0"/>
                <w:sz w:val="30"/>
                <w:szCs w:val="30"/>
                <w:lang w:val="en-US" w:eastAsia="zh-CN" w:bidi="ar"/>
              </w:rPr>
              <w:t>1%</w:t>
            </w:r>
          </w:p>
        </w:tc>
        <w:tc>
          <w:tcPr>
            <w:tcW w:w="1179"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val="0"/>
              <w:spacing w:line="520" w:lineRule="exact"/>
              <w:ind w:left="0" w:leftChars="0" w:right="0" w:rightChars="0" w:firstLine="0" w:firstLineChars="0"/>
              <w:jc w:val="left"/>
              <w:textAlignment w:val="auto"/>
              <w:rPr>
                <w:rFonts w:hint="eastAsia" w:ascii="仿宋" w:eastAsia="仿宋"/>
                <w:sz w:val="32"/>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7" w:hRule="atLeast"/>
          <w:jc w:val="center"/>
        </w:trPr>
        <w:tc>
          <w:tcPr>
            <w:tcW w:w="2183"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val="0"/>
              <w:spacing w:line="520" w:lineRule="exact"/>
              <w:ind w:left="0" w:leftChars="0" w:right="0" w:rightChars="0" w:firstLine="0" w:firstLineChars="0"/>
              <w:jc w:val="left"/>
              <w:textAlignment w:val="auto"/>
              <w:rPr>
                <w:rFonts w:hint="eastAsia" w:ascii="仿宋" w:eastAsia="仿宋"/>
                <w:sz w:val="30"/>
                <w:szCs w:val="30"/>
              </w:rPr>
            </w:pPr>
          </w:p>
        </w:tc>
        <w:tc>
          <w:tcPr>
            <w:tcW w:w="42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leftChars="0" w:right="0" w:rightChars="0" w:firstLine="0" w:firstLineChars="0"/>
              <w:jc w:val="left"/>
              <w:textAlignment w:val="auto"/>
              <w:rPr>
                <w:rFonts w:ascii="仿宋" w:eastAsia="仿宋"/>
                <w:sz w:val="30"/>
                <w:szCs w:val="30"/>
              </w:rPr>
            </w:pPr>
            <w:r>
              <w:rPr>
                <w:rFonts w:hint="eastAsia" w:ascii="仿宋" w:hAnsi="仿宋" w:eastAsia="仿宋" w:cs="仿宋"/>
                <w:kern w:val="0"/>
                <w:sz w:val="30"/>
                <w:szCs w:val="30"/>
                <w:lang w:val="en-US" w:eastAsia="zh-CN" w:bidi="ar"/>
              </w:rPr>
              <w:t>3000万以上</w:t>
            </w:r>
          </w:p>
        </w:tc>
        <w:tc>
          <w:tcPr>
            <w:tcW w:w="9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leftChars="0" w:right="0" w:rightChars="0" w:firstLine="0" w:firstLineChars="0"/>
              <w:jc w:val="left"/>
              <w:textAlignment w:val="auto"/>
              <w:rPr>
                <w:rFonts w:ascii="仿宋" w:eastAsia="仿宋"/>
                <w:sz w:val="30"/>
                <w:szCs w:val="30"/>
              </w:rPr>
            </w:pPr>
            <w:r>
              <w:rPr>
                <w:rFonts w:hint="eastAsia" w:ascii="仿宋" w:hAnsi="仿宋" w:eastAsia="仿宋" w:cs="仿宋"/>
                <w:kern w:val="0"/>
                <w:sz w:val="30"/>
                <w:szCs w:val="30"/>
                <w:lang w:val="en-US" w:eastAsia="zh-CN" w:bidi="ar"/>
              </w:rPr>
              <w:t>0.5%</w:t>
            </w:r>
          </w:p>
        </w:tc>
        <w:tc>
          <w:tcPr>
            <w:tcW w:w="1179"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val="0"/>
              <w:spacing w:line="520" w:lineRule="exact"/>
              <w:ind w:left="0" w:leftChars="0" w:right="0" w:rightChars="0" w:firstLine="0" w:firstLineChars="0"/>
              <w:jc w:val="left"/>
              <w:textAlignment w:val="auto"/>
              <w:rPr>
                <w:rFonts w:hint="eastAsia" w:ascii="仿宋" w:eastAsia="仿宋"/>
                <w:sz w:val="32"/>
                <w:szCs w:val="24"/>
              </w:rPr>
            </w:pP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规定期限未完成拆迁协议签订和拆除清场，或违反委托合同约定的，按委托合同约定处罚。规定期限具体以有关部门批准的项目实施方案为准。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2、投标单位中标后未按本招标公告和投标文件15日内签订合同，招标人或代理人有权处置投标保证金，并撤销本项目实施资格，并向行业主管部门通报。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jc w:val="left"/>
        <w:textAlignment w:val="auto"/>
        <w:rPr>
          <w:rFonts w:hint="eastAsia" w:ascii="微软雅黑" w:hAnsi="微软雅黑" w:eastAsia="微软雅黑" w:cs="微软雅黑"/>
          <w:i w:val="0"/>
          <w:iCs w:val="0"/>
          <w:caps w:val="0"/>
          <w:color w:val="333333"/>
          <w:spacing w:val="0"/>
          <w:sz w:val="21"/>
          <w:szCs w:val="21"/>
          <w:highlight w:val="none"/>
        </w:rPr>
      </w:pPr>
      <w:r>
        <w:rPr>
          <w:rFonts w:hint="default" w:ascii="国标宋体" w:hAnsi="国标宋体" w:eastAsia="国标宋体" w:cs="国标宋体"/>
          <w:b/>
          <w:bCs/>
          <w:i w:val="0"/>
          <w:iCs w:val="0"/>
          <w:caps w:val="0"/>
          <w:color w:val="333333"/>
          <w:spacing w:val="0"/>
          <w:kern w:val="0"/>
          <w:sz w:val="32"/>
          <w:szCs w:val="32"/>
          <w:highlight w:val="none"/>
          <w:shd w:val="clear" w:fill="FFFFFF"/>
          <w:lang w:val="en-US" w:eastAsia="zh-CN" w:bidi="ar"/>
        </w:rPr>
        <w:t>七、</w:t>
      </w:r>
      <w:r>
        <w:rPr>
          <w:rFonts w:hint="eastAsia" w:ascii="国标宋体" w:hAnsi="国标宋体" w:eastAsia="国标宋体" w:cs="国标宋体"/>
          <w:b/>
          <w:bCs/>
          <w:i w:val="0"/>
          <w:iCs w:val="0"/>
          <w:caps w:val="0"/>
          <w:color w:val="333333"/>
          <w:spacing w:val="0"/>
          <w:kern w:val="0"/>
          <w:sz w:val="32"/>
          <w:szCs w:val="32"/>
          <w:highlight w:val="none"/>
          <w:shd w:val="clear" w:fill="FFFFFF"/>
          <w:lang w:val="en-US" w:eastAsia="zh-CN" w:bidi="ar"/>
        </w:rPr>
        <w:t>投标文件</w:t>
      </w:r>
      <w:r>
        <w:rPr>
          <w:rFonts w:hint="default" w:ascii="国标宋体" w:hAnsi="国标宋体" w:eastAsia="国标宋体" w:cs="国标宋体"/>
          <w:b/>
          <w:bCs/>
          <w:i w:val="0"/>
          <w:iCs w:val="0"/>
          <w:caps w:val="0"/>
          <w:color w:val="333333"/>
          <w:spacing w:val="0"/>
          <w:kern w:val="0"/>
          <w:sz w:val="32"/>
          <w:szCs w:val="32"/>
          <w:highlight w:val="none"/>
          <w:shd w:val="clear" w:fill="FFFFFF"/>
          <w:lang w:val="en-US" w:eastAsia="zh-CN" w:bidi="ar"/>
        </w:rPr>
        <w:t>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1、投标申请书（格式自拟）；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2、营业执照复印件和准入证书复印件、法定代表人身份证明、授权委托书（加盖公章）；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3、以往实施的拆迁工程的业绩；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4、拆迁实施方案：拆迁人员配备及安排一览表（所配备人员在本项目完成前不得参与其它拆迁项目）、推进措施、工期内不能完成的处置办法、确保业务质量的措施、廉政监管措施、拆房安全现场管理和拆房时干扰因素排除措施、按规定制定和落实拆房过程中的防尘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5、违约认罚、保证金、廉洁承诺书（格式自拟，并加盖公章）；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6、派驻本项目的所有工作人员上岗证副本原件（须在有效期内）、工作人员与投标企业双方签订的有效劳动合同书复印件（加盖公章）；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7、派驻本项目的安全员的</w:t>
      </w:r>
      <w:r>
        <w:rPr>
          <w:rFonts w:hint="eastAsia" w:ascii="仿宋" w:hAnsi="仿宋" w:eastAsia="仿宋" w:cs="仿宋"/>
          <w:i w:val="0"/>
          <w:iCs w:val="0"/>
          <w:caps w:val="0"/>
          <w:color w:val="auto"/>
          <w:spacing w:val="0"/>
          <w:kern w:val="0"/>
          <w:sz w:val="32"/>
          <w:szCs w:val="32"/>
          <w:highlight w:val="none"/>
          <w:shd w:val="clear" w:fill="FFFFFF"/>
          <w:lang w:val="en-US" w:eastAsia="zh-CN" w:bidi="ar"/>
        </w:rPr>
        <w:t>一般工贸行业主要负责人、专职安全管理人员‌‌证复印件（须在有效期内）及安全员与投标企业双方签订的有效劳动合同书复印件（加盖公章）；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8、向南通开发区房屋征收中心有限公司缴纳投标保证金10万元的缴款凭证。（开户行：建设银行开发区支行；账号：32001642336052514617）；</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9、投标书分正、副本各壹份。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jc w:val="left"/>
        <w:textAlignment w:val="auto"/>
        <w:rPr>
          <w:rFonts w:hint="eastAsia" w:ascii="微软雅黑" w:hAnsi="微软雅黑" w:eastAsia="微软雅黑" w:cs="微软雅黑"/>
          <w:i w:val="0"/>
          <w:iCs w:val="0"/>
          <w:caps w:val="0"/>
          <w:color w:val="333333"/>
          <w:spacing w:val="0"/>
          <w:sz w:val="21"/>
          <w:szCs w:val="21"/>
          <w:highlight w:val="none"/>
        </w:rPr>
      </w:pPr>
      <w:r>
        <w:rPr>
          <w:rFonts w:hint="default" w:ascii="国标宋体" w:hAnsi="国标宋体" w:eastAsia="国标宋体" w:cs="国标宋体"/>
          <w:b/>
          <w:bCs/>
          <w:i w:val="0"/>
          <w:iCs w:val="0"/>
          <w:caps w:val="0"/>
          <w:color w:val="333333"/>
          <w:spacing w:val="0"/>
          <w:kern w:val="0"/>
          <w:sz w:val="32"/>
          <w:szCs w:val="32"/>
          <w:highlight w:val="none"/>
          <w:shd w:val="clear" w:fill="FFFFFF"/>
          <w:lang w:val="en-US" w:eastAsia="zh-CN" w:bidi="ar"/>
        </w:rPr>
        <w:t>八、投标、评标时间和地点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投标截止时间：2026年4月8日10时00分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投标地点：南通开发区宏兴路9号能达大厦923室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jc w:val="left"/>
        <w:textAlignment w:val="auto"/>
        <w:rPr>
          <w:rFonts w:hint="default"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投标联系人：叶雷    电话：15262725199</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评标时间：2026年4月8日14时00分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评标地点：南通市经济技术开发区公共资源交易中心（能达大厦东裙楼五楼招标室）。投标单位的负责人或项目经理必须按时参加评标会议、履行相关程序。评标结束当场公布评标结果。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jc w:val="left"/>
        <w:textAlignment w:val="auto"/>
        <w:rPr>
          <w:rFonts w:hint="eastAsia" w:ascii="微软雅黑" w:hAnsi="微软雅黑" w:eastAsia="微软雅黑" w:cs="微软雅黑"/>
          <w:i w:val="0"/>
          <w:iCs w:val="0"/>
          <w:caps w:val="0"/>
          <w:color w:val="333333"/>
          <w:spacing w:val="0"/>
          <w:sz w:val="21"/>
          <w:szCs w:val="21"/>
        </w:rPr>
      </w:pPr>
      <w:r>
        <w:rPr>
          <w:rFonts w:hint="default" w:ascii="国标宋体" w:hAnsi="国标宋体" w:eastAsia="国标宋体" w:cs="国标宋体"/>
          <w:b/>
          <w:bCs/>
          <w:i w:val="0"/>
          <w:iCs w:val="0"/>
          <w:caps w:val="0"/>
          <w:color w:val="333333"/>
          <w:spacing w:val="0"/>
          <w:kern w:val="0"/>
          <w:sz w:val="32"/>
          <w:szCs w:val="32"/>
          <w:shd w:val="clear" w:fill="FFFFFF"/>
          <w:lang w:val="en-US" w:eastAsia="zh-CN" w:bidi="ar"/>
        </w:rPr>
        <w:t>九、废标规定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1、投标人未在提交投标文件的截止时间前将投标文件送达投标地点；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2、投标人未按本公告内容如实提供材料或提供虚假材料；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3、投标人未按时提交保证金；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4、招投标相关法律、法规规定的其他废标条款。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jc w:val="left"/>
        <w:textAlignment w:val="auto"/>
        <w:rPr>
          <w:rFonts w:hint="eastAsia" w:ascii="微软雅黑" w:hAnsi="微软雅黑" w:eastAsia="微软雅黑" w:cs="微软雅黑"/>
          <w:i w:val="0"/>
          <w:iCs w:val="0"/>
          <w:caps w:val="0"/>
          <w:color w:val="333333"/>
          <w:spacing w:val="0"/>
          <w:sz w:val="21"/>
          <w:szCs w:val="21"/>
        </w:rPr>
      </w:pPr>
      <w:r>
        <w:rPr>
          <w:rFonts w:hint="default" w:ascii="国标宋体" w:hAnsi="国标宋体" w:eastAsia="国标宋体" w:cs="国标宋体"/>
          <w:b/>
          <w:bCs/>
          <w:i w:val="0"/>
          <w:iCs w:val="0"/>
          <w:caps w:val="0"/>
          <w:color w:val="333333"/>
          <w:spacing w:val="0"/>
          <w:kern w:val="0"/>
          <w:sz w:val="32"/>
          <w:szCs w:val="32"/>
          <w:shd w:val="clear" w:fill="FFFFFF"/>
          <w:lang w:val="en-US" w:eastAsia="zh-CN" w:bidi="ar"/>
        </w:rPr>
        <w:t>十、评标办法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1、评标小组会审标书，去除废标。符合入围条件少于6家单位的，招标中止，另行公告招标；入围条件大于等于6家的进入评标程序。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2、入围的投标单位负责人或项目经理对开发区近年来空间再造拆迁项目完成情况和实施方案进行现场说明，并接受评标小组的提问。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3、评标小组成员分别对入围单位评分，计分表附后。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4、由监票员和计分员对计分表汇总计分。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5、按得分排名，得分前五名的为中标单位；如出现第五名得分相同的单位，由评委会通过随机抽签确定。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jc w:val="left"/>
        <w:textAlignment w:val="auto"/>
        <w:rPr>
          <w:rFonts w:hint="eastAsia" w:ascii="微软雅黑" w:hAnsi="微软雅黑" w:eastAsia="微软雅黑" w:cs="微软雅黑"/>
          <w:i w:val="0"/>
          <w:iCs w:val="0"/>
          <w:caps w:val="0"/>
          <w:color w:val="333333"/>
          <w:spacing w:val="0"/>
          <w:sz w:val="21"/>
          <w:szCs w:val="21"/>
          <w:highlight w:val="none"/>
        </w:rPr>
      </w:pPr>
      <w:r>
        <w:rPr>
          <w:rFonts w:hint="default" w:ascii="国标宋体" w:hAnsi="国标宋体" w:eastAsia="国标宋体" w:cs="国标宋体"/>
          <w:b/>
          <w:bCs/>
          <w:i w:val="0"/>
          <w:iCs w:val="0"/>
          <w:caps w:val="0"/>
          <w:color w:val="333333"/>
          <w:spacing w:val="0"/>
          <w:kern w:val="0"/>
          <w:sz w:val="32"/>
          <w:szCs w:val="32"/>
          <w:highlight w:val="none"/>
          <w:shd w:val="clear" w:fill="FFFFFF"/>
          <w:lang w:val="en-US" w:eastAsia="zh-CN" w:bidi="ar"/>
        </w:rPr>
        <w:t>十一、中标单位义务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1、实施期间参与人员上岗证副本原件交区征收处收存管理，项目现场验收合格后退还。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2、一名副总经理以上担任项目经理，且全程参与拆迁协议谈判和现场管理。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bookmarkStart w:id="3" w:name="_GoBack"/>
      <w:bookmarkEnd w:id="3"/>
      <w:r>
        <w:rPr>
          <w:rFonts w:hint="eastAsia" w:ascii="仿宋" w:hAnsi="仿宋" w:eastAsia="仿宋" w:cs="仿宋"/>
          <w:i w:val="0"/>
          <w:iCs w:val="0"/>
          <w:caps w:val="0"/>
          <w:color w:val="auto"/>
          <w:spacing w:val="0"/>
          <w:kern w:val="0"/>
          <w:sz w:val="32"/>
          <w:szCs w:val="32"/>
          <w:highlight w:val="none"/>
          <w:shd w:val="clear" w:fill="FFFFFF"/>
          <w:lang w:val="en-US" w:eastAsia="zh-CN" w:bidi="ar"/>
        </w:rPr>
        <w:t>3、须聘请律师作为本项目的法律顾问，确保签订的协议符合法律规定。中标后一星期内须将聘请律师合同原件、律师证复印件交征收处备案。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4、中标征收公司必须将工作人员名单报至中兴街办，并明确上述人员在本项目从业行为与本单位承担连带责任，名单以外的人员未经同意不得从事协议签订、洽谈等工作。在项目实施期间在街道现场指挥部集中用餐的，按人数预交用餐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5、房屋拆除和安全管理。征收公司将房屋腾空后，通知业主代理单位、街道安全监督部门和委托安全生产监督管理资质的公司、主管局安全管理人员进行验收，验收包括：房屋是否按要求腾空、有无干扰和安全隐患、是否聘请了具有安全生产监督管理资质的公司、专职安全员是否到位、现场安全措施是否按要求落实、是否进行了安全方案备案，拆房公司设备、人员、资质是否合规等拆房前的条件，验收合格后，方可实施拆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jc w:val="left"/>
        <w:textAlignment w:val="auto"/>
        <w:rPr>
          <w:rFonts w:hint="eastAsia" w:ascii="微软雅黑" w:hAnsi="微软雅黑" w:eastAsia="微软雅黑" w:cs="微软雅黑"/>
          <w:i w:val="0"/>
          <w:iCs w:val="0"/>
          <w:caps w:val="0"/>
          <w:color w:val="333333"/>
          <w:spacing w:val="0"/>
          <w:sz w:val="21"/>
          <w:szCs w:val="21"/>
        </w:rPr>
      </w:pPr>
      <w:r>
        <w:rPr>
          <w:rFonts w:hint="default" w:ascii="国标宋体" w:hAnsi="国标宋体" w:eastAsia="国标宋体" w:cs="国标宋体"/>
          <w:b/>
          <w:bCs/>
          <w:i w:val="0"/>
          <w:iCs w:val="0"/>
          <w:caps w:val="0"/>
          <w:color w:val="333333"/>
          <w:spacing w:val="0"/>
          <w:kern w:val="0"/>
          <w:sz w:val="32"/>
          <w:szCs w:val="32"/>
          <w:shd w:val="clear" w:fill="FFFFFF"/>
          <w:lang w:val="en-US" w:eastAsia="zh-CN" w:bidi="ar"/>
        </w:rPr>
        <w:t>十二、本招标书作为后期与征收服务公司签订委托实施征迁合同的组成部分，具有同等法律效力。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jc w:val="left"/>
        <w:textAlignment w:val="auto"/>
        <w:rPr>
          <w:rFonts w:hint="eastAsia" w:ascii="微软雅黑" w:hAnsi="微软雅黑" w:eastAsia="微软雅黑" w:cs="微软雅黑"/>
          <w:i w:val="0"/>
          <w:iCs w:val="0"/>
          <w:caps w:val="0"/>
          <w:color w:val="333333"/>
          <w:spacing w:val="0"/>
          <w:sz w:val="21"/>
          <w:szCs w:val="21"/>
        </w:rPr>
      </w:pPr>
      <w:r>
        <w:rPr>
          <w:rFonts w:hint="default" w:ascii="国标宋体" w:hAnsi="国标宋体" w:eastAsia="国标宋体" w:cs="国标宋体"/>
          <w:b/>
          <w:bCs/>
          <w:i w:val="0"/>
          <w:iCs w:val="0"/>
          <w:caps w:val="0"/>
          <w:color w:val="333333"/>
          <w:spacing w:val="0"/>
          <w:kern w:val="0"/>
          <w:sz w:val="32"/>
          <w:szCs w:val="32"/>
          <w:shd w:val="clear" w:fill="FFFFFF"/>
          <w:lang w:val="en-US" w:eastAsia="zh-CN" w:bidi="ar"/>
        </w:rPr>
        <w:t>十三、本招标书解释权归招标人。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jc w:val="left"/>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3484"/>
        <w:jc w:val="left"/>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shd w:val="clear" w:fill="FFFFFF"/>
          <w:lang w:val="en-US" w:eastAsia="zh-CN" w:bidi="ar"/>
        </w:rPr>
        <w:t>招标人：南通市中兴街道办事处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124"/>
        <w:jc w:val="left"/>
        <w:textAlignment w:val="auto"/>
        <w:rPr>
          <w:rFonts w:hint="eastAsia" w:ascii="微软雅黑" w:hAnsi="微软雅黑" w:eastAsia="微软雅黑" w:cs="微软雅黑"/>
          <w:i w:val="0"/>
          <w:iCs w:val="0"/>
          <w:caps w:val="0"/>
          <w:color w:val="333333"/>
          <w:spacing w:val="0"/>
          <w:sz w:val="21"/>
          <w:szCs w:val="21"/>
          <w:highlight w:val="cyan"/>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2026年3月30日</w:t>
      </w:r>
    </w:p>
    <w:sectPr>
      <w:pgSz w:w="11906" w:h="16838"/>
      <w:pgMar w:top="1871" w:right="1814" w:bottom="1531" w:left="192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国标宋体">
    <w:panose1 w:val="02000500000000000000"/>
    <w:charset w:val="86"/>
    <w:family w:val="auto"/>
    <w:pitch w:val="default"/>
    <w:sig w:usb0="00000001" w:usb1="2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8E244F"/>
    <w:rsid w:val="227E1B8E"/>
    <w:rsid w:val="2429206C"/>
    <w:rsid w:val="2A027E45"/>
    <w:rsid w:val="31092E52"/>
    <w:rsid w:val="33775400"/>
    <w:rsid w:val="34DA6C95"/>
    <w:rsid w:val="39295730"/>
    <w:rsid w:val="4DB33BC0"/>
    <w:rsid w:val="68F862C6"/>
    <w:rsid w:val="69FE6795"/>
    <w:rsid w:val="6F1E43A6"/>
    <w:rsid w:val="7B8E5D22"/>
    <w:rsid w:val="BFE76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3408</Words>
  <Characters>3496</Characters>
  <Lines>0</Lines>
  <Paragraphs>0</Paragraphs>
  <TotalTime>7</TotalTime>
  <ScaleCrop>false</ScaleCrop>
  <LinksUpToDate>false</LinksUpToDate>
  <CharactersWithSpaces>3502</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2026-03-06T09:51:00Z</dcterms:created>
  <dc:creator>admin</dc:creator>
  <cp:lastModifiedBy>kylin</cp:lastModifiedBy>
  <cp:lastPrinted>2026-03-31T09:44:46Z</cp:lastPrinted>
  <dcterms:modified xsi:type="dcterms:W3CDTF">2026-03-31T09:46:25Z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KSOTemplateDocerSaveRecord">
    <vt:lpwstr>eyJoZGlkIjoiNWYxZGI0ZGY2NGM2YzQ5OTU1N2YyM2Q1NzllZmY2M2IiLCJ1c2VySWQiOiI4MzU4NDAyMDMifQ==</vt:lpwstr>
  </property>
  <property fmtid="{D5CDD505-2E9C-101B-9397-08002B2CF9AE}" pid="4" name="ICV">
    <vt:lpwstr>C58DE3E1521C4D0B7127CB69D6106427</vt:lpwstr>
  </property>
</Properties>
</file>