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t xml:space="preserve">常州市政府采购项目</w:t>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sz w:val="44"/>
          <w:szCs w:val="44"/>
          <w:highlight w:val="none"/>
        </w:rPr>
      </w:pPr>
      <w:r>
        <w:rPr>
          <w:rFonts w:hint="eastAsia" w:ascii="仿宋" w:hAnsi="仿宋" w:eastAsia="仿宋" w:cs="仿宋"/>
          <w:b/>
          <w:bCs/>
          <w:sz w:val="60"/>
          <w:szCs w:val="60"/>
          <w:highlight w:val="none"/>
        </w:rPr>
        <w:t xml:space="preserve">公开招标文件</w:t>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rPr>
          <w:rFonts w:hint="eastAsia" w:ascii="仿宋" w:hAnsi="仿宋" w:eastAsia="仿宋" w:cs="仿宋"/>
          <w:b/>
          <w:bCs/>
          <w:sz w:val="60"/>
          <w:szCs w:val="60"/>
          <w:highlight w:val="none"/>
        </w:rPr>
      </w:r>
      <w:r/>
    </w:p>
    <w:p>
      <w:pPr>
        <w:jc w:val="center"/>
        <w:rPr>
          <w:rFonts w:hint="eastAsia" w:ascii="仿宋" w:hAnsi="仿宋" w:eastAsia="仿宋" w:cs="仿宋"/>
          <w:b/>
          <w:bCs/>
          <w:sz w:val="60"/>
          <w:szCs w:val="60"/>
          <w:highlight w:val="none"/>
        </w:rPr>
      </w:pPr>
      <w:r/>
      <w:bookmarkStart w:id="893" w:name="_GoBack"/>
      <w:r/>
      <w:bookmarkEnd w:id="893"/>
      <w:r/>
      <w:r/>
    </w:p>
    <w:tbl>
      <w:tblPr>
        <w:tblStyle w:val="1195"/>
        <w:tblW w:w="9030" w:type="dxa"/>
        <w:jc w:val="center"/>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jc w:val="center"/>
          <w:trHeight w:val="886"/>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bookmarkStart w:id="0" w:name="_Hlk138827153"/>
            <w:r>
              <w:rPr>
                <w:rFonts w:hint="eastAsia" w:ascii="仿宋" w:hAnsi="仿宋" w:eastAsia="仿宋" w:cs="仿宋"/>
                <w:bCs/>
                <w:sz w:val="32"/>
                <w:szCs w:val="32"/>
                <w:highlight w:val="none"/>
              </w:rPr>
              <w:t xml:space="preserve">项 目 名 称：</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新北区人民医院项目一期气动物流设备采购</w:t>
            </w:r>
            <w:bookmarkEnd w:id="0"/>
            <w:r/>
            <w:r/>
          </w:p>
        </w:tc>
      </w:tr>
      <w:tr>
        <w:trPr>
          <w:jc w:val="center"/>
          <w:trHeight w:val="84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项 目 编 号：</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lang w:eastAsia="zh-CN"/>
              </w:rPr>
            </w:pPr>
            <w:r>
              <w:rPr>
                <w:rFonts w:hint="eastAsia" w:ascii="仿宋" w:hAnsi="仿宋" w:eastAsia="仿宋" w:cs="仿宋"/>
                <w:b/>
                <w:sz w:val="32"/>
                <w:szCs w:val="32"/>
                <w:highlight w:val="none"/>
                <w:u w:val="single"/>
                <w:lang w:eastAsia="zh-CN"/>
              </w:rPr>
              <w:t xml:space="preserve">JSZC-320411-SCJX-G2026-0005</w:t>
            </w:r>
            <w:r/>
          </w:p>
        </w:tc>
      </w:tr>
      <w:tr>
        <w:trPr>
          <w:jc w:val="center"/>
          <w:trHeight w:val="98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采   购  人：</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常州国家高新技术产业开发区(新北区)卫生健康局</w:t>
            </w:r>
            <w:r/>
          </w:p>
        </w:tc>
      </w:tr>
      <w:tr>
        <w:trPr>
          <w:jc w:val="center"/>
          <w:trHeight w:val="995"/>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采购代理机构：</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江苏城建校工程咨询有限公司</w:t>
            </w:r>
            <w:r/>
          </w:p>
        </w:tc>
      </w:tr>
    </w:tbl>
    <w:p>
      <w:pPr>
        <w:jc w:val="center"/>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jc w:val="center"/>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jc w:val="center"/>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二〇二六年</w:t>
      </w:r>
      <w:r>
        <w:rPr>
          <w:rFonts w:hint="eastAsia" w:ascii="仿宋" w:hAnsi="仿宋" w:eastAsia="仿宋" w:cs="仿宋"/>
          <w:b/>
          <w:sz w:val="36"/>
          <w:szCs w:val="36"/>
          <w:highlight w:val="none"/>
          <w:lang w:val="en-US" w:eastAsia="zh-CN"/>
        </w:rPr>
        <w:t xml:space="preserve">三</w:t>
      </w:r>
      <w:r>
        <w:rPr>
          <w:rFonts w:hint="eastAsia" w:ascii="仿宋" w:hAnsi="仿宋" w:eastAsia="仿宋" w:cs="仿宋"/>
          <w:b/>
          <w:sz w:val="36"/>
          <w:szCs w:val="36"/>
          <w:highlight w:val="none"/>
        </w:rPr>
        <w:t xml:space="preserve">月</w:t>
      </w:r>
      <w:r/>
    </w:p>
    <w:p>
      <w:pPr>
        <w:ind w:firstLine="7228"/>
        <w:spacing w:line="360" w:lineRule="auto"/>
        <w:rPr>
          <w:rFonts w:hint="eastAsia" w:ascii="仿宋" w:hAnsi="仿宋" w:eastAsia="仿宋" w:cs="仿宋"/>
          <w:b/>
          <w:sz w:val="72"/>
          <w:highlight w:val="none"/>
        </w:rPr>
        <w:sectPr>
          <w:headerReference w:type="default" r:id="rId9"/>
          <w:headerReference w:type="first" r:id="rId10"/>
          <w:footerReference w:type="default" r:id="rId19"/>
          <w:footerReference w:type="even" r:id="rId20"/>
          <w:footerReference w:type="first" r:id="rId21"/>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仿宋" w:hAnsi="仿宋" w:eastAsia="仿宋" w:cs="仿宋"/>
          <w:b/>
          <w:sz w:val="72"/>
          <w:highlight w:val="none"/>
        </w:rPr>
      </w:r>
      <w:r/>
    </w:p>
    <w:p>
      <w:pPr>
        <w:jc w:val="center"/>
        <w:spacing w:line="360" w:lineRule="auto"/>
        <w:rPr>
          <w:rFonts w:hint="eastAsia" w:ascii="仿宋" w:hAnsi="仿宋" w:eastAsia="仿宋" w:cs="仿宋"/>
          <w:b/>
          <w:sz w:val="36"/>
          <w:szCs w:val="36"/>
          <w:highlight w:val="none"/>
        </w:rPr>
        <w:outlineLvl w:val="0"/>
      </w:pPr>
      <w:r/>
      <w:bookmarkStart w:id="1" w:name="_Toc99301418"/>
      <w:r/>
      <w:bookmarkStart w:id="2" w:name="_Toc108044427"/>
      <w:r/>
      <w:r/>
    </w:p>
    <w:p>
      <w:pPr>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目    录</w:t>
      </w:r>
      <w:bookmarkEnd w:id="1"/>
      <w:r/>
      <w:bookmarkEnd w:id="2"/>
      <w:r/>
      <w:r/>
    </w:p>
    <w:p>
      <w:pPr>
        <w:rPr>
          <w:rFonts w:hint="eastAsia" w:ascii="仿宋" w:hAnsi="仿宋" w:eastAsia="仿宋" w:cs="仿宋"/>
          <w:highlight w:val="none"/>
        </w:rPr>
      </w:pPr>
      <w:r>
        <w:rPr>
          <w:rFonts w:hint="eastAsia" w:ascii="仿宋" w:hAnsi="仿宋" w:eastAsia="仿宋" w:cs="仿宋"/>
          <w:highlight w:val="none"/>
        </w:rPr>
      </w:r>
      <w:r/>
    </w:p>
    <w:p>
      <w:pPr>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15"/>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rFonts w:hint="eastAsia" w:ascii="仿宋" w:hAnsi="仿宋" w:eastAsia="仿宋" w:cs="仿宋"/>
          <w:b w:val="0"/>
          <w:sz w:val="28"/>
          <w:szCs w:val="28"/>
          <w:highlight w:val="none"/>
        </w:rPr>
        <w:fldChar w:fldCharType="begin"/>
      </w:r>
      <w:r>
        <w:rPr>
          <w:rFonts w:hint="eastAsia" w:ascii="仿宋" w:hAnsi="仿宋" w:eastAsia="仿宋" w:cs="仿宋"/>
          <w:b w:val="0"/>
          <w:sz w:val="28"/>
          <w:szCs w:val="28"/>
          <w:highlight w:val="none"/>
        </w:rPr>
        <w:instrText xml:space="preserve"> TOC \o "1-1" \h \z \u </w:instrText>
      </w:r>
      <w:r>
        <w:rPr>
          <w:rFonts w:hint="eastAsia" w:ascii="仿宋" w:hAnsi="仿宋" w:eastAsia="仿宋" w:cs="仿宋"/>
          <w:b w:val="0"/>
          <w:sz w:val="28"/>
          <w:szCs w:val="28"/>
          <w:highlight w:val="none"/>
        </w:rPr>
        <w:fldChar w:fldCharType="separate"/>
      </w:r>
      <w:r>
        <w:rPr>
          <w:highlight w:val="none"/>
        </w:rPr>
        <w:fldChar w:fldCharType="begin"/>
      </w:r>
      <w:r>
        <w:rPr>
          <w:highlight w:val="none"/>
        </w:rPr>
        <w:instrText xml:space="preserve"> HYPERLINK \l "_Toc17049" </w:instrText>
      </w:r>
      <w:r>
        <w:rPr>
          <w:highlight w:val="none"/>
        </w:rPr>
        <w:fldChar w:fldCharType="separate"/>
      </w:r>
      <w:r>
        <w:rPr>
          <w:rFonts w:hint="eastAsia" w:ascii="仿宋" w:hAnsi="仿宋" w:eastAsia="仿宋" w:cs="仿宋"/>
          <w:sz w:val="28"/>
          <w:szCs w:val="28"/>
          <w:highlight w:val="none"/>
        </w:rPr>
        <w:t xml:space="preserve">第一章   投标邀请</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_Toc17049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"_Toc13222" </w:instrText>
      </w:r>
      <w:r>
        <w:rPr>
          <w:highlight w:val="none"/>
        </w:rPr>
        <w:fldChar w:fldCharType="separate"/>
      </w:r>
      <w:r>
        <w:rPr>
          <w:rFonts w:hint="eastAsia" w:ascii="仿宋" w:hAnsi="仿宋" w:eastAsia="仿宋" w:cs="仿宋"/>
          <w:sz w:val="28"/>
          <w:szCs w:val="28"/>
          <w:highlight w:val="none"/>
        </w:rPr>
        <w:t xml:space="preserve">第二章   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_Toc13222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"_Toc25537" </w:instrText>
      </w:r>
      <w:r>
        <w:rPr>
          <w:highlight w:val="none"/>
        </w:rPr>
        <w:fldChar w:fldCharType="separate"/>
      </w:r>
      <w:r>
        <w:rPr>
          <w:rFonts w:hint="eastAsia" w:ascii="仿宋" w:hAnsi="仿宋" w:eastAsia="仿宋" w:cs="仿宋"/>
          <w:sz w:val="28"/>
          <w:szCs w:val="28"/>
          <w:highlight w:val="none"/>
        </w:rPr>
        <w:t xml:space="preserve">第三章   资格审查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_Toc25537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"_Toc27609" </w:instrText>
      </w:r>
      <w:r>
        <w:rPr>
          <w:highlight w:val="none"/>
        </w:rPr>
        <w:fldChar w:fldCharType="separate"/>
      </w:r>
      <w:r>
        <w:rPr>
          <w:rFonts w:hint="eastAsia" w:ascii="仿宋" w:hAnsi="仿宋" w:eastAsia="仿宋" w:cs="仿宋"/>
          <w:sz w:val="28"/>
          <w:szCs w:val="28"/>
          <w:highlight w:val="none"/>
        </w:rPr>
        <w:t xml:space="preserve">第四章   评标程序、评标方法和评标标准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_Toc27609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"_Toc25545" </w:instrText>
      </w:r>
      <w:r>
        <w:rPr>
          <w:highlight w:val="none"/>
        </w:rPr>
        <w:fldChar w:fldCharType="separate"/>
      </w:r>
      <w:r>
        <w:rPr>
          <w:rFonts w:hint="eastAsia" w:ascii="仿宋" w:hAnsi="仿宋" w:eastAsia="仿宋" w:cs="仿宋"/>
          <w:sz w:val="28"/>
          <w:szCs w:val="28"/>
          <w:highlight w:val="none"/>
        </w:rPr>
        <w:t xml:space="preserve">第五章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_Toc25545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26</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tabs>
          <w:tab w:val="clear" w:pos="1050" w:leader="none"/>
          <w:tab w:val="clear" w:pos="8937" w:leader="none"/>
          <w:tab w:val="right" w:pos="9747" w:leader="dot"/>
        </w:tabs>
        <w:rPr>
          <w:rFonts w:hint="eastAsia" w:ascii="仿宋" w:hAnsi="仿宋" w:eastAsia="仿宋" w:cs="仿宋"/>
          <w:sz w:val="28"/>
          <w:szCs w:val="28"/>
          <w:highlight w:val="none"/>
        </w:rPr>
      </w:pPr>
      <w:r>
        <w:rPr>
          <w:highlight w:val="none"/>
        </w:rPr>
        <w:fldChar w:fldCharType="begin"/>
      </w:r>
      <w:r>
        <w:rPr>
          <w:highlight w:val="none"/>
        </w:rPr>
        <w:instrText xml:space="preserve"> HYPERLINK \l "_Toc32511" </w:instrText>
      </w:r>
      <w:r>
        <w:rPr>
          <w:highlight w:val="none"/>
        </w:rPr>
        <w:fldChar w:fldCharType="separate"/>
      </w:r>
      <w:r>
        <w:rPr>
          <w:rFonts w:hint="eastAsia" w:ascii="仿宋" w:hAnsi="仿宋" w:eastAsia="仿宋" w:cs="仿宋"/>
          <w:sz w:val="28"/>
          <w:szCs w:val="28"/>
          <w:highlight w:val="none"/>
        </w:rPr>
        <w:t xml:space="preserve">第六章   拟签订的合同文本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_Toc32511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tabs>
          <w:tab w:val="clear" w:pos="1050" w:leader="none"/>
          <w:tab w:val="clear" w:pos="8937" w:leader="none"/>
          <w:tab w:val="right" w:pos="9747" w:leader="dot"/>
        </w:tabs>
        <w:rPr>
          <w:rFonts w:hint="eastAsia" w:ascii="仿宋" w:hAnsi="仿宋" w:eastAsia="仿宋" w:cs="仿宋"/>
          <w:highlight w:val="none"/>
        </w:rPr>
      </w:pPr>
      <w:r>
        <w:rPr>
          <w:highlight w:val="none"/>
        </w:rPr>
        <w:fldChar w:fldCharType="begin"/>
      </w:r>
      <w:r>
        <w:rPr>
          <w:highlight w:val="none"/>
        </w:rPr>
        <w:instrText xml:space="preserve"> HYPERLINK \l "_Toc19395" </w:instrText>
      </w:r>
      <w:r>
        <w:rPr>
          <w:highlight w:val="none"/>
        </w:rPr>
        <w:fldChar w:fldCharType="separate"/>
      </w:r>
      <w:r>
        <w:rPr>
          <w:rFonts w:hint="eastAsia" w:ascii="仿宋" w:hAnsi="仿宋" w:eastAsia="仿宋" w:cs="仿宋"/>
          <w:sz w:val="28"/>
          <w:szCs w:val="28"/>
          <w:highlight w:val="none"/>
        </w:rPr>
        <w:t xml:space="preserve">第七章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_Toc19395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48</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p>
    <w:p>
      <w:pPr>
        <w:pStyle w:val="1215"/>
        <w:spacing w:line="480" w:lineRule="auto"/>
        <w:rPr>
          <w:rFonts w:hint="eastAsia" w:ascii="仿宋" w:hAnsi="仿宋" w:eastAsia="仿宋" w:cs="仿宋"/>
          <w:b w:val="0"/>
          <w:sz w:val="28"/>
          <w:szCs w:val="28"/>
          <w:highlight w:val="none"/>
        </w:rPr>
      </w:pPr>
      <w:r>
        <w:rPr>
          <w:rFonts w:hint="eastAsia" w:ascii="仿宋" w:hAnsi="仿宋" w:eastAsia="仿宋" w:cs="仿宋"/>
          <w:szCs w:val="28"/>
          <w:highlight w:val="none"/>
        </w:rPr>
        <w:fldChar w:fldCharType="end"/>
      </w:r>
      <w:r/>
    </w:p>
    <w:p>
      <w:pPr>
        <w:jc w:val="center"/>
        <w:spacing w:line="360" w:lineRule="auto"/>
        <w:rPr>
          <w:rFonts w:hint="eastAsia" w:ascii="仿宋" w:hAnsi="仿宋" w:eastAsia="仿宋" w:cs="仿宋"/>
          <w:b/>
          <w:sz w:val="36"/>
          <w:szCs w:val="36"/>
          <w:highlight w:val="none"/>
        </w:rPr>
        <w:sectPr>
          <w:headerReference w:type="default" r:id="rId11"/>
          <w:headerReference w:type="first" r:id="rId12"/>
          <w:footerReference w:type="default" r:id="rId22"/>
          <w:footerReference w:type="first" r:id="rId23"/>
          <w:footnotePr/>
          <w:endnotePr/>
          <w:type w:val="nextColumn"/>
          <w:pgSz w:w="11907" w:h="16840" w:orient="portrait"/>
          <w:pgMar w:top="1440" w:right="1080" w:bottom="1440" w:left="1080" w:header="851" w:footer="851" w:gutter="0"/>
          <w:pgNumType w:start="1"/>
          <w:cols w:num="1" w:sep="0" w:space="720" w:equalWidth="1"/>
          <w:docGrid w:linePitch="360"/>
          <w:titlePg/>
        </w:sectPr>
        <w:outlineLvl w:val="0"/>
      </w:pPr>
      <w:r>
        <w:rPr>
          <w:rFonts w:hint="eastAsia" w:ascii="仿宋" w:hAnsi="仿宋" w:eastAsia="仿宋" w:cs="仿宋"/>
          <w:b/>
          <w:sz w:val="36"/>
          <w:szCs w:val="36"/>
          <w:highlight w:val="none"/>
        </w:rPr>
      </w:r>
      <w:r/>
    </w:p>
    <w:p>
      <w:pPr>
        <w:pStyle w:val="1185"/>
        <w:rPr>
          <w:rFonts w:hint="eastAsia" w:ascii="仿宋" w:hAnsi="仿宋" w:eastAsia="仿宋" w:cs="仿宋"/>
          <w:szCs w:val="32"/>
          <w:highlight w:val="none"/>
        </w:rPr>
      </w:pPr>
      <w:r/>
      <w:bookmarkStart w:id="3" w:name="_Toc17049"/>
      <w:r>
        <w:rPr>
          <w:rFonts w:hint="eastAsia" w:ascii="仿宋" w:hAnsi="仿宋" w:eastAsia="仿宋" w:cs="仿宋"/>
          <w:szCs w:val="32"/>
          <w:highlight w:val="none"/>
        </w:rPr>
        <w:t xml:space="preserve">第一章   投标邀请</w:t>
      </w:r>
      <w:bookmarkEnd w:id="3"/>
      <w:r/>
      <w:r/>
    </w:p>
    <w:p>
      <w:pPr>
        <w:pStyle w:val="1186"/>
        <w:jc w:val="left"/>
        <w:spacing w:before="0" w:line="360" w:lineRule="auto"/>
        <w:rPr>
          <w:rFonts w:hint="eastAsia" w:ascii="仿宋" w:hAnsi="仿宋" w:eastAsia="仿宋" w:cs="仿宋"/>
          <w:sz w:val="21"/>
          <w:szCs w:val="21"/>
          <w:highlight w:val="none"/>
        </w:rPr>
      </w:pPr>
      <w:r/>
      <w:bookmarkStart w:id="4" w:name="_Toc28359002"/>
      <w:r/>
      <w:bookmarkStart w:id="5" w:name="_Toc28359079"/>
      <w:r/>
      <w:bookmarkStart w:id="6" w:name="_Toc35393621"/>
      <w:r/>
      <w:bookmarkStart w:id="7" w:name="_Toc35393790"/>
      <w:r/>
      <w:bookmarkStart w:id="8" w:name="_Hlk24379207"/>
      <w:r/>
      <w:bookmarkStart w:id="9" w:name="_Hlk139626825"/>
      <w:r/>
      <w:bookmarkStart w:id="10" w:name="_Hlk138939735"/>
      <w:r>
        <w:rPr>
          <w:rFonts w:hint="eastAsia" w:ascii="仿宋" w:hAnsi="仿宋" w:eastAsia="仿宋" w:cs="仿宋"/>
          <w:sz w:val="21"/>
          <w:szCs w:val="21"/>
          <w:highlight w:val="none"/>
        </w:rPr>
        <w:t xml:space="preserve">一、项目基本情况</w:t>
      </w:r>
      <w:bookmarkEnd w:id="4"/>
      <w:r/>
      <w:bookmarkEnd w:id="5"/>
      <w:r/>
      <w:bookmarkEnd w:id="6"/>
      <w:r/>
      <w:bookmarkEnd w:id="7"/>
      <w:r/>
      <w:r/>
    </w:p>
    <w:p>
      <w:pPr>
        <w:ind w:firstLine="420"/>
        <w:spacing w:line="360" w:lineRule="auto"/>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1.项目编号/包号：</w:t>
      </w:r>
      <w:r>
        <w:rPr>
          <w:rFonts w:hint="eastAsia" w:ascii="仿宋" w:hAnsi="仿宋" w:eastAsia="仿宋" w:cs="仿宋"/>
          <w:szCs w:val="21"/>
          <w:highlight w:val="none"/>
          <w:lang w:eastAsia="zh-CN"/>
        </w:rPr>
        <w:t xml:space="preserve">JSZC-320411-SCJX-G2026-0005</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2.项目名称：</w:t>
      </w:r>
      <w:bookmarkEnd w:id="8"/>
      <w:r>
        <w:rPr>
          <w:rFonts w:hint="eastAsia" w:ascii="仿宋" w:hAnsi="仿宋" w:eastAsia="仿宋" w:cs="仿宋"/>
          <w:szCs w:val="21"/>
          <w:highlight w:val="none"/>
        </w:rPr>
        <w:t xml:space="preserve">新北区人民医院项目一期气动物流设备采购</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3.项目预算金额：256万元；</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项目最高限价：</w:t>
      </w:r>
      <w:bookmarkStart w:id="11" w:name="_Hlk170393484"/>
      <w:r>
        <w:rPr>
          <w:rFonts w:hint="eastAsia" w:ascii="仿宋" w:hAnsi="仿宋" w:eastAsia="仿宋" w:cs="仿宋"/>
          <w:b/>
          <w:bCs/>
          <w:szCs w:val="21"/>
          <w:highlight w:val="none"/>
        </w:rPr>
        <w:t xml:space="preserve">2560000元；投标报价不得高于最高限价，否则将作为无效投标。</w:t>
      </w:r>
      <w:bookmarkEnd w:id="11"/>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4.采购需求（简介）：</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常州市新北区人民医院项目一期气动物流设备采购，包括但不限于气动物流传输系统（设置16个站点）设备的采购、运输、装卸、安装、调试、测试、技术培训、履约验收、售后服务（质量保修、免费维保）等全部工作。</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5.合同履行期限：接采购人通知后180日内完成供货、安装，于2027年12月25日前完成调试、验收合格并具备使用条件，且不得影响项目整体竣工验收。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6.本项目是否接受联合体投标：不接受。</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7.本项目是否接受进口产品投标：不接受。</w:t>
      </w:r>
      <w:r/>
    </w:p>
    <w:p>
      <w:pPr>
        <w:pStyle w:val="1186"/>
        <w:jc w:val="left"/>
        <w:spacing w:before="0" w:line="360" w:lineRule="auto"/>
        <w:rPr>
          <w:rFonts w:hint="eastAsia" w:ascii="仿宋" w:hAnsi="仿宋" w:eastAsia="仿宋" w:cs="仿宋"/>
          <w:sz w:val="21"/>
          <w:szCs w:val="21"/>
          <w:highlight w:val="none"/>
        </w:rPr>
      </w:pPr>
      <w:r/>
      <w:bookmarkStart w:id="12" w:name="_Toc28359003"/>
      <w:r/>
      <w:bookmarkStart w:id="13" w:name="_Toc28359080"/>
      <w:r/>
      <w:bookmarkStart w:id="14" w:name="_Toc35393622"/>
      <w:r/>
      <w:bookmarkStart w:id="15" w:name="_Toc35393791"/>
      <w:r>
        <w:rPr>
          <w:rFonts w:hint="eastAsia" w:ascii="仿宋" w:hAnsi="仿宋" w:eastAsia="仿宋" w:cs="仿宋"/>
          <w:sz w:val="21"/>
          <w:szCs w:val="21"/>
          <w:highlight w:val="none"/>
        </w:rPr>
        <w:t xml:space="preserve">二、申请人的资格要求（须同时满足）</w:t>
      </w:r>
      <w:bookmarkEnd w:id="12"/>
      <w:r/>
      <w:bookmarkEnd w:id="13"/>
      <w:r/>
      <w:bookmarkEnd w:id="14"/>
      <w:r/>
      <w:bookmarkEnd w:id="15"/>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1.满足《中华人民共和国政府采购法》第二十二条规定以及下列情形：</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仿宋" w:hAnsi="仿宋" w:eastAsia="仿宋" w:cs="仿宋"/>
          <w:szCs w:val="21"/>
          <w:highlight w:val="none"/>
        </w:rPr>
      </w:pPr>
      <w:r/>
      <w:bookmarkStart w:id="16" w:name="_Toc28359004"/>
      <w:r/>
      <w:bookmarkStart w:id="17" w:name="_Toc28359081"/>
      <w:r>
        <w:rPr>
          <w:rFonts w:hint="eastAsia" w:ascii="仿宋" w:hAnsi="仿宋" w:eastAsia="仿宋" w:cs="仿宋"/>
          <w:szCs w:val="21"/>
          <w:highlight w:val="none"/>
        </w:rPr>
        <w:t xml:space="preserve">2.落实政府采购政策需满足的资格要求：</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2.1 中小企业政策（说明：中小企业包含中型、小型、微型企业，小微企业包含小型、微型企业）</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本项目不专门面向中小、小微企业采购。 </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 其它落实政府采购政策的资格要求（如有）：</w:t>
      </w:r>
      <w:r>
        <w:rPr>
          <w:rFonts w:hint="eastAsia" w:ascii="仿宋" w:hAnsi="仿宋" w:eastAsia="仿宋" w:cs="仿宋"/>
          <w:szCs w:val="21"/>
          <w:highlight w:val="none"/>
          <w:u w:val="single"/>
        </w:rPr>
        <w:t xml:space="preserve">无</w:t>
      </w:r>
      <w:r>
        <w:rPr>
          <w:rFonts w:hint="eastAsia" w:ascii="仿宋" w:hAnsi="仿宋" w:eastAsia="仿宋" w:cs="仿宋"/>
          <w:szCs w:val="21"/>
          <w:highlight w:val="none"/>
        </w:rPr>
        <w:t xml:space="preserve">。</w:t>
      </w:r>
      <w:r/>
    </w:p>
    <w:p>
      <w:pPr>
        <w:ind w:firstLine="420"/>
        <w:spacing w:line="360" w:lineRule="auto"/>
        <w:rPr>
          <w:rFonts w:hint="eastAsia" w:ascii="仿宋" w:hAnsi="仿宋" w:eastAsia="仿宋" w:cs="仿宋"/>
          <w:i/>
          <w:iCs/>
          <w:szCs w:val="21"/>
          <w:highlight w:val="none"/>
          <w:u w:val="single"/>
        </w:rPr>
      </w:pPr>
      <w:r>
        <w:rPr>
          <w:rFonts w:hint="eastAsia" w:ascii="仿宋" w:hAnsi="仿宋" w:eastAsia="仿宋" w:cs="仿宋"/>
          <w:szCs w:val="21"/>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3.1本项目是否接受分支机构参与投标：否； </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3.2本项目是否属于政府购买服务：否；</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3.3其他特定资格要求：</w:t>
      </w:r>
      <w:r>
        <w:rPr>
          <w:rFonts w:hint="eastAsia" w:ascii="仿宋" w:hAnsi="仿宋" w:eastAsia="仿宋" w:cs="仿宋"/>
          <w:szCs w:val="21"/>
          <w:highlight w:val="none"/>
          <w:u w:val="single"/>
        </w:rPr>
        <w:t xml:space="preserve"> 无 </w:t>
      </w:r>
      <w:r>
        <w:rPr>
          <w:rFonts w:hint="eastAsia" w:ascii="仿宋" w:hAnsi="仿宋" w:eastAsia="仿宋" w:cs="仿宋"/>
          <w:szCs w:val="21"/>
          <w:highlight w:val="none"/>
        </w:rPr>
        <w:t xml:space="preserve">。</w:t>
      </w:r>
      <w:bookmarkEnd w:id="16"/>
      <w:r/>
      <w:bookmarkEnd w:id="17"/>
      <w:r/>
      <w:r/>
    </w:p>
    <w:p>
      <w:pPr>
        <w:pStyle w:val="1186"/>
        <w:jc w:val="left"/>
        <w:spacing w:before="0" w:line="360" w:lineRule="auto"/>
        <w:widowControl/>
        <w:rPr>
          <w:rFonts w:hint="eastAsia" w:ascii="仿宋" w:hAnsi="仿宋" w:eastAsia="仿宋" w:cs="仿宋"/>
          <w:sz w:val="21"/>
          <w:szCs w:val="21"/>
          <w:highlight w:val="none"/>
        </w:rPr>
      </w:pPr>
      <w:r/>
      <w:bookmarkStart w:id="18" w:name="_Toc35393792"/>
      <w:r/>
      <w:bookmarkStart w:id="19" w:name="_Toc35393623"/>
      <w:r>
        <w:rPr>
          <w:rFonts w:hint="eastAsia" w:ascii="仿宋" w:hAnsi="仿宋" w:eastAsia="仿宋" w:cs="仿宋"/>
          <w:sz w:val="21"/>
          <w:szCs w:val="21"/>
          <w:highlight w:val="none"/>
        </w:rPr>
        <w:t xml:space="preserve">三、获取招标文件</w:t>
      </w:r>
      <w:bookmarkEnd w:id="18"/>
      <w:r/>
      <w:bookmarkEnd w:id="19"/>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bookmarkStart w:id="20" w:name="_Toc35393796"/>
      <w:r/>
      <w:bookmarkStart w:id="21" w:name="_Toc35393627"/>
      <w:r/>
      <w:bookmarkStart w:id="22" w:name="_Toc28359085"/>
      <w:r/>
      <w:bookmarkStart w:id="23" w:name="_Toc28359008"/>
      <w:r>
        <w:rPr>
          <w:rFonts w:hint="eastAsia" w:ascii="仿宋" w:hAnsi="仿宋" w:eastAsia="仿宋" w:cs="仿宋"/>
          <w:b/>
          <w:bCs/>
          <w:szCs w:val="21"/>
          <w:highlight w:val="none"/>
        </w:rPr>
        <w:t xml:space="preserve">1.时间：公告发布之日起至2026年</w:t>
      </w:r>
      <w:r>
        <w:rPr>
          <w:rFonts w:hint="eastAsia" w:ascii="仿宋" w:hAnsi="仿宋" w:eastAsia="仿宋" w:cs="仿宋"/>
          <w:b/>
          <w:bCs/>
          <w:szCs w:val="21"/>
          <w:highlight w:val="none"/>
          <w:lang w:val="en-US" w:eastAsia="zh-CN"/>
        </w:rPr>
        <w:t xml:space="preserve">3</w:t>
      </w:r>
      <w:r>
        <w:rPr>
          <w:rFonts w:hint="eastAsia" w:ascii="仿宋" w:hAnsi="仿宋" w:eastAsia="仿宋" w:cs="仿宋"/>
          <w:b/>
          <w:bCs/>
          <w:szCs w:val="21"/>
          <w:highlight w:val="none"/>
        </w:rPr>
        <w:t xml:space="preserve">月</w:t>
      </w:r>
      <w:r>
        <w:rPr>
          <w:rFonts w:hint="eastAsia" w:ascii="仿宋" w:hAnsi="仿宋" w:eastAsia="仿宋" w:cs="仿宋"/>
          <w:b/>
          <w:bCs/>
          <w:szCs w:val="21"/>
          <w:highlight w:val="none"/>
          <w:lang w:val="en-US" w:eastAsia="zh-CN"/>
        </w:rPr>
        <w:t xml:space="preserve">24</w:t>
      </w:r>
      <w:r>
        <w:rPr>
          <w:rFonts w:hint="eastAsia" w:ascii="仿宋" w:hAnsi="仿宋" w:eastAsia="仿宋" w:cs="仿宋"/>
          <w:b/>
          <w:bCs/>
          <w:szCs w:val="21"/>
          <w:highlight w:val="none"/>
        </w:rPr>
        <w:t xml:space="preserve">日下午23：59（北京时间）</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2.地点：“苏采云”政府采购一体化平台</w:t>
      </w:r>
      <w:r/>
    </w:p>
    <w:p>
      <w:pPr>
        <w:ind w:firstLine="422"/>
        <w:jc w:val="left"/>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3.方式：“苏采云”政府采购一体化平台自行免费下载。</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4.售价： 0 元。</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四、提交投标文件截止时间、开标时间和地点</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投标截止时间、开标时间：2026年</w:t>
      </w:r>
      <w:r>
        <w:rPr>
          <w:rFonts w:hint="eastAsia" w:ascii="仿宋" w:hAnsi="仿宋" w:eastAsia="仿宋" w:cs="仿宋"/>
          <w:b/>
          <w:bCs/>
          <w:szCs w:val="21"/>
          <w:highlight w:val="none"/>
          <w:lang w:val="en-US" w:eastAsia="zh-CN"/>
        </w:rPr>
        <w:t xml:space="preserve">4</w:t>
      </w:r>
      <w:r>
        <w:rPr>
          <w:rFonts w:hint="eastAsia" w:ascii="仿宋" w:hAnsi="仿宋" w:eastAsia="仿宋" w:cs="仿宋"/>
          <w:b/>
          <w:bCs/>
          <w:szCs w:val="21"/>
          <w:highlight w:val="none"/>
        </w:rPr>
        <w:t xml:space="preserve">月</w:t>
      </w:r>
      <w:r>
        <w:rPr>
          <w:rFonts w:hint="eastAsia" w:ascii="仿宋" w:hAnsi="仿宋" w:eastAsia="仿宋" w:cs="仿宋"/>
          <w:b/>
          <w:bCs/>
          <w:szCs w:val="21"/>
          <w:highlight w:val="none"/>
          <w:lang w:val="en-US" w:eastAsia="zh-CN"/>
        </w:rPr>
        <w:t xml:space="preserve">8</w:t>
      </w:r>
      <w:r>
        <w:rPr>
          <w:rFonts w:hint="eastAsia" w:ascii="仿宋" w:hAnsi="仿宋" w:eastAsia="仿宋" w:cs="仿宋"/>
          <w:b/>
          <w:bCs/>
          <w:szCs w:val="21"/>
          <w:highlight w:val="none"/>
        </w:rPr>
        <w:t xml:space="preserve">日09点30分（北京时间）。</w:t>
      </w:r>
      <w:r/>
    </w:p>
    <w:p>
      <w:pPr>
        <w:ind w:firstLine="422"/>
        <w:spacing w:line="360" w:lineRule="auto"/>
        <w:tabs>
          <w:tab w:val="left" w:pos="900" w:leader="none"/>
          <w:tab w:val="left" w:pos="1134" w:leader="none"/>
          <w:tab w:val="left" w:pos="1589" w:leader="none"/>
          <w:tab w:val="left" w:pos="5521"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地点：“苏采云”政府采购一体化平台。</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五、公告期限</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highlight w:val="none"/>
        </w:rPr>
      </w:pPr>
      <w:r>
        <w:rPr>
          <w:rFonts w:hint="eastAsia" w:ascii="仿宋" w:hAnsi="仿宋" w:eastAsia="仿宋" w:cs="仿宋"/>
          <w:bCs/>
          <w:szCs w:val="21"/>
          <w:highlight w:val="none"/>
        </w:rPr>
        <w:t xml:space="preserve">本公告发布之日起5个工作日。</w:t>
      </w:r>
      <w:r/>
    </w:p>
    <w:p>
      <w:pPr>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highlight w:val="none"/>
        </w:rPr>
      </w:pPr>
      <w:r>
        <w:rPr>
          <w:rFonts w:hint="eastAsia" w:ascii="仿宋" w:hAnsi="仿宋" w:eastAsia="仿宋" w:cs="仿宋"/>
          <w:b/>
          <w:szCs w:val="21"/>
          <w:highlight w:val="none"/>
        </w:rPr>
        <w:t xml:space="preserve">六、其他补充事宜</w:t>
      </w:r>
      <w:r/>
    </w:p>
    <w:p>
      <w:pPr>
        <w:ind w:firstLine="420"/>
        <w:spacing w:line="360" w:lineRule="auto"/>
        <w:tabs>
          <w:tab w:val="left" w:pos="900" w:leader="none"/>
          <w:tab w:val="left" w:pos="1134" w:leader="none"/>
          <w:tab w:val="left" w:pos="1589" w:leader="none"/>
          <w:tab w:val="left" w:pos="5521" w:leader="none"/>
        </w:tabs>
        <w:rPr>
          <w:rFonts w:hint="eastAsia" w:ascii="仿宋" w:hAnsi="仿宋" w:eastAsia="仿宋" w:cs="仿宋"/>
          <w:bCs/>
          <w:szCs w:val="21"/>
          <w:highlight w:val="none"/>
        </w:rPr>
      </w:pPr>
      <w:r>
        <w:rPr>
          <w:rFonts w:hint="eastAsia" w:ascii="仿宋" w:hAnsi="仿宋" w:eastAsia="仿宋" w:cs="仿宋"/>
          <w:bCs/>
          <w:szCs w:val="21"/>
          <w:highlight w:val="none"/>
        </w:rPr>
        <w:t xml:space="preserve">1.本项目需要落实的政府采购政策：无。 </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2.根据省财政厅《关于</w:t>
      </w:r>
      <w:r>
        <w:rPr>
          <w:rFonts w:hint="eastAsia" w:ascii="仿宋" w:hAnsi="仿宋" w:eastAsia="仿宋" w:cs="仿宋"/>
          <w:b/>
          <w:bCs/>
          <w:szCs w:val="21"/>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3.本项目不满3家投标报名，将重新组织采购。</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4.关于常州市中小企业政府采购信用融资：</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单位提供相应额度贷款的融资模式。申请条件及操作流程等事项详见该文件相关内容或者常州市政府采购网--政采融资平台栏目。</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rPr>
        <w:t xml:space="preserve">5.</w:t>
      </w:r>
      <w:r>
        <w:rPr>
          <w:rFonts w:hint="eastAsia" w:ascii="仿宋" w:hAnsi="仿宋" w:eastAsia="仿宋" w:cs="仿宋"/>
          <w:szCs w:val="21"/>
          <w:highlight w:val="none"/>
          <w:lang w:val="zh-TW"/>
        </w:rPr>
        <w:t xml:space="preserve">有关本次</w:t>
      </w:r>
      <w:r>
        <w:rPr>
          <w:rFonts w:hint="eastAsia" w:ascii="仿宋" w:hAnsi="仿宋" w:eastAsia="仿宋" w:cs="仿宋"/>
          <w:szCs w:val="21"/>
          <w:highlight w:val="none"/>
        </w:rPr>
        <w:t xml:space="preserve">采购</w:t>
      </w:r>
      <w:r>
        <w:rPr>
          <w:rFonts w:hint="eastAsia" w:ascii="仿宋" w:hAnsi="仿宋" w:eastAsia="仿宋" w:cs="仿宋"/>
          <w:szCs w:val="21"/>
          <w:highlight w:val="none"/>
          <w:lang w:val="zh-TW"/>
        </w:rPr>
        <w:t xml:space="preserve">的事项若存在变动或修改，敬请及时关注 “江苏政府采购网、常州市政府采购网”发布的更正公告。</w:t>
      </w:r>
      <w:r/>
    </w:p>
    <w:p>
      <w:pPr>
        <w:ind w:firstLine="420"/>
        <w:spacing w:line="360" w:lineRule="auto"/>
        <w:rPr>
          <w:rFonts w:hint="eastAsia" w:ascii="仿宋" w:hAnsi="仿宋" w:eastAsia="仿宋" w:cs="仿宋"/>
          <w:szCs w:val="21"/>
          <w:highlight w:val="none"/>
          <w:lang w:val="zh-TW"/>
        </w:rPr>
      </w:pPr>
      <w:r>
        <w:rPr>
          <w:rFonts w:hint="eastAsia" w:ascii="仿宋" w:hAnsi="仿宋" w:eastAsia="仿宋" w:cs="仿宋"/>
          <w:szCs w:val="21"/>
          <w:highlight w:val="none"/>
          <w:lang w:val="zh-TW"/>
        </w:rPr>
        <w:t xml:space="preserve">6.特别说明：因工作需要，本次采购项目涉及的单位及个人相关信息已经取得机构或本人同意后对外公布。</w:t>
      </w:r>
      <w:r/>
    </w:p>
    <w:p>
      <w:pPr>
        <w:contextualSpacing/>
        <w:jc w:val="left"/>
        <w:spacing w:line="360" w:lineRule="auto"/>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rPr>
        <w:t xml:space="preserve">七、对本次招标提出询问，请按以下方式联系。</w:t>
      </w:r>
      <w:bookmarkEnd w:id="20"/>
      <w:r/>
      <w:bookmarkEnd w:id="21"/>
      <w:r/>
      <w:bookmarkEnd w:id="22"/>
      <w:r/>
      <w:bookmarkEnd w:id="23"/>
      <w:r/>
      <w:bookmarkEnd w:id="9"/>
      <w:r/>
      <w:r/>
    </w:p>
    <w:p>
      <w:pPr>
        <w:contextualSpacing/>
        <w:ind w:firstLine="420"/>
        <w:jc w:val="left"/>
        <w:spacing w:line="360" w:lineRule="auto"/>
        <w:widowControl/>
        <w:rPr>
          <w:rFonts w:hint="eastAsia" w:ascii="仿宋" w:hAnsi="仿宋" w:eastAsia="仿宋" w:cs="仿宋"/>
          <w:szCs w:val="21"/>
          <w:highlight w:val="none"/>
          <w:lang w:bidi="ar"/>
        </w:rPr>
      </w:pPr>
      <w:r/>
      <w:bookmarkStart w:id="24" w:name="_Toc353873938"/>
      <w:r/>
      <w:bookmarkStart w:id="25" w:name="_Toc305158854"/>
      <w:r/>
      <w:bookmarkStart w:id="26" w:name="_Toc264969275"/>
      <w:r/>
      <w:bookmarkStart w:id="27" w:name="_Toc305158928"/>
      <w:r/>
      <w:bookmarkStart w:id="28" w:name="_Toc127161488"/>
      <w:r/>
      <w:bookmarkStart w:id="29" w:name="_Toc150774783"/>
      <w:r/>
      <w:bookmarkStart w:id="30" w:name="_Toc353825548"/>
      <w:r/>
      <w:bookmarkStart w:id="31" w:name="_Toc127151777"/>
      <w:r/>
      <w:bookmarkStart w:id="32" w:name="_Toc512937850"/>
      <w:r/>
      <w:bookmarkStart w:id="33" w:name="_Toc195842950"/>
      <w:r/>
      <w:bookmarkStart w:id="34" w:name="_Toc226965856"/>
      <w:r/>
      <w:bookmarkStart w:id="35" w:name="_Toc265228423"/>
      <w:r>
        <w:rPr>
          <w:rFonts w:hint="eastAsia" w:ascii="仿宋" w:hAnsi="仿宋" w:eastAsia="仿宋" w:cs="仿宋"/>
          <w:szCs w:val="21"/>
          <w:highlight w:val="none"/>
          <w:lang w:bidi="ar"/>
        </w:rPr>
        <w:t xml:space="preserve">1.采购人信息</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名  称：常州国家高新技术产业开发区(新北区)卫生健康局</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地  址：常州市新北区崇信路8号</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联系人：章工</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联系方式：0519-81592135</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2.采购代理机构信息</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名  称：江苏城建校工程咨询有限公司</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地　址：常州市清潭路85-2号</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联系方式：13585347085、0519-86908235-8305</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szCs w:val="21"/>
          <w:highlight w:val="none"/>
          <w:lang w:val="zh-TW" w:bidi="ar"/>
        </w:rPr>
        <w:t xml:space="preserve">邮  箱：jscjxzb@163.com  　</w:t>
      </w:r>
      <w:r/>
    </w:p>
    <w:p>
      <w:pPr>
        <w:contextualSpacing/>
        <w:ind w:firstLine="420"/>
        <w:jc w:val="left"/>
        <w:spacing w:line="360" w:lineRule="auto"/>
        <w:widowControl/>
        <w:rPr>
          <w:rFonts w:hint="eastAsia" w:ascii="仿宋" w:hAnsi="仿宋" w:eastAsia="仿宋" w:cs="仿宋"/>
          <w:szCs w:val="21"/>
          <w:highlight w:val="none"/>
          <w:lang w:val="zh-TW" w:bidi="ar"/>
        </w:rPr>
      </w:pPr>
      <w:r/>
      <w:bookmarkStart w:id="36" w:name="_Toc35393808"/>
      <w:r/>
      <w:bookmarkStart w:id="37" w:name="_Toc35393639"/>
      <w:r/>
      <w:bookmarkStart w:id="38" w:name="_Toc28359021"/>
      <w:r/>
      <w:bookmarkStart w:id="39" w:name="_Toc28359098"/>
      <w:r/>
      <w:bookmarkStart w:id="40" w:name="_Toc63761646"/>
      <w:r/>
      <w:bookmarkStart w:id="41" w:name="_Toc45235310"/>
      <w:r/>
      <w:bookmarkStart w:id="42" w:name="_Toc63761585"/>
      <w:r/>
      <w:bookmarkStart w:id="43" w:name="_Toc45235156"/>
      <w:r>
        <w:rPr>
          <w:rFonts w:hint="eastAsia" w:ascii="仿宋" w:hAnsi="仿宋" w:eastAsia="仿宋" w:cs="仿宋"/>
          <w:szCs w:val="21"/>
          <w:highlight w:val="none"/>
          <w:lang w:val="zh-TW" w:bidi="ar"/>
        </w:rPr>
        <w:t xml:space="preserve">3.项目联系方式</w:t>
      </w:r>
      <w:bookmarkEnd w:id="36"/>
      <w:r/>
      <w:bookmarkEnd w:id="37"/>
      <w:r/>
      <w:bookmarkEnd w:id="38"/>
      <w:r/>
      <w:bookmarkEnd w:id="39"/>
      <w:r/>
      <w:bookmarkEnd w:id="40"/>
      <w:r/>
      <w:bookmarkEnd w:id="41"/>
      <w:r/>
      <w:bookmarkEnd w:id="42"/>
      <w:r/>
      <w:bookmarkEnd w:id="43"/>
      <w:r/>
      <w:r/>
    </w:p>
    <w:p>
      <w:pPr>
        <w:pStyle w:val="1197"/>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项目联系人：钱工</w:t>
      </w:r>
      <w:r/>
    </w:p>
    <w:p>
      <w:pPr>
        <w:contextualSpacing/>
        <w:ind w:firstLine="420"/>
        <w:jc w:val="left"/>
        <w:spacing w:line="360" w:lineRule="auto"/>
        <w:widowControl/>
        <w:rPr>
          <w:rFonts w:hint="eastAsia" w:ascii="仿宋" w:hAnsi="仿宋" w:eastAsia="仿宋" w:cs="仿宋"/>
          <w:szCs w:val="21"/>
          <w:highlight w:val="none"/>
          <w:lang w:val="zh-TW" w:bidi="ar"/>
        </w:rPr>
      </w:pPr>
      <w:r>
        <w:rPr>
          <w:rFonts w:hint="eastAsia" w:ascii="仿宋" w:hAnsi="仿宋" w:eastAsia="仿宋" w:cs="仿宋"/>
          <w:bCs/>
          <w:szCs w:val="21"/>
          <w:highlight w:val="none"/>
        </w:rPr>
        <w:t xml:space="preserve">电　话：13585347085</w:t>
      </w:r>
      <w:r/>
    </w:p>
    <w:p>
      <w:pPr>
        <w:contextualSpacing/>
        <w:ind w:firstLine="420"/>
        <w:jc w:val="center"/>
        <w:spacing w:line="360" w:lineRule="auto"/>
        <w:widowControl/>
        <w:rPr>
          <w:rStyle w:val="1243"/>
          <w:rFonts w:hint="eastAsia" w:ascii="仿宋" w:hAnsi="仿宋" w:eastAsia="仿宋" w:cs="仿宋"/>
          <w:highlight w:val="none"/>
        </w:rPr>
      </w:pPr>
      <w:r>
        <w:rPr>
          <w:rFonts w:hint="eastAsia" w:ascii="仿宋" w:hAnsi="仿宋" w:eastAsia="仿宋" w:cs="仿宋"/>
          <w:szCs w:val="21"/>
          <w:highlight w:val="none"/>
          <w:lang w:val="zh-TW" w:bidi="ar"/>
        </w:rPr>
        <w:br w:type="page" w:clear="all"/>
      </w:r>
      <w:bookmarkEnd w:id="10"/>
      <w:r/>
      <w:bookmarkStart w:id="44" w:name="_Toc13222"/>
      <w:r>
        <w:rPr>
          <w:rStyle w:val="1243"/>
          <w:rFonts w:hint="eastAsia" w:ascii="仿宋" w:hAnsi="仿宋" w:eastAsia="仿宋" w:cs="仿宋"/>
          <w:highlight w:val="none"/>
        </w:rPr>
        <w:t xml:space="preserve">第二章   供应商须知</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44"/>
      <w:r/>
      <w:r/>
    </w:p>
    <w:p>
      <w:pPr>
        <w:pStyle w:val="1186"/>
        <w:spacing w:before="0" w:line="360" w:lineRule="auto"/>
        <w:tabs>
          <w:tab w:val="center" w:pos="4592" w:leader="none"/>
          <w:tab w:val="left" w:pos="7860" w:leader="none"/>
        </w:tabs>
        <w:rPr>
          <w:rFonts w:hint="eastAsia" w:ascii="仿宋" w:hAnsi="仿宋" w:eastAsia="仿宋" w:cs="仿宋"/>
          <w:sz w:val="28"/>
          <w:highlight w:val="none"/>
        </w:rPr>
      </w:pPr>
      <w:r/>
      <w:bookmarkStart w:id="45" w:name="_Toc195842884"/>
      <w:r/>
      <w:bookmarkStart w:id="46" w:name="_Toc226337215"/>
      <w:r/>
      <w:bookmarkStart w:id="47" w:name="_Toc164229360"/>
      <w:r/>
      <w:bookmarkStart w:id="48" w:name="_Toc226309763"/>
      <w:r/>
      <w:bookmarkStart w:id="49" w:name="_Toc142311021"/>
      <w:r/>
      <w:bookmarkStart w:id="50" w:name="_Toc520356144"/>
      <w:r/>
      <w:bookmarkStart w:id="51" w:name="_Toc151193617"/>
      <w:r/>
      <w:bookmarkStart w:id="52" w:name="_Toc149720812"/>
      <w:r/>
      <w:bookmarkStart w:id="53" w:name="_Toc127161433"/>
      <w:r/>
      <w:bookmarkStart w:id="54" w:name="_Toc150509270"/>
      <w:r/>
      <w:bookmarkStart w:id="55" w:name="_Toc151193761"/>
      <w:r/>
      <w:bookmarkStart w:id="56" w:name="_Toc226965792"/>
      <w:r/>
      <w:bookmarkStart w:id="57" w:name="_Toc150774724"/>
      <w:r/>
      <w:bookmarkStart w:id="58" w:name="_Toc150480757"/>
      <w:r/>
      <w:bookmarkStart w:id="59" w:name="_Toc151193907"/>
      <w:r/>
      <w:bookmarkStart w:id="60" w:name="_Toc151193833"/>
      <w:r/>
      <w:bookmarkStart w:id="61" w:name="_Toc164608788"/>
      <w:r/>
      <w:bookmarkStart w:id="62" w:name="_Toc127151519"/>
      <w:r/>
      <w:bookmarkStart w:id="63" w:name="_Toc151190146"/>
      <w:r/>
      <w:bookmarkStart w:id="64" w:name="_Toc151193689"/>
      <w:r/>
      <w:bookmarkStart w:id="65" w:name="_Toc226965709"/>
      <w:r/>
      <w:bookmarkStart w:id="66" w:name="_Toc164229214"/>
      <w:r/>
      <w:bookmarkStart w:id="67" w:name="_Toc164608633"/>
      <w:r/>
      <w:bookmarkStart w:id="68" w:name="_Toc150774619"/>
      <w:r/>
      <w:bookmarkStart w:id="69" w:name="_Toc164351613"/>
      <w:r/>
      <w:bookmarkStart w:id="70" w:name="_Toc127151720"/>
      <w:r>
        <w:rPr>
          <w:rFonts w:hint="eastAsia" w:ascii="仿宋" w:hAnsi="仿宋" w:eastAsia="仿宋" w:cs="仿宋"/>
          <w:sz w:val="28"/>
          <w:highlight w:val="none"/>
        </w:rPr>
        <w:t xml:space="preserve">供应商须知资料表</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本表是对供应商须知的具体补充和修改，如有矛盾，均以本资料表为准。</w:t>
      </w:r>
      <w:r/>
    </w:p>
    <w:tbl>
      <w:tblPr>
        <w:tblStyle w:val="1195"/>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32"/>
      </w:tblGrid>
      <w:tr>
        <w:trPr>
          <w:jc w:val="center"/>
          <w:trHeight w:val="90"/>
          <w:tblHeader/>
        </w:trPr>
        <w:tc>
          <w:tcPr>
            <w:tcW w:w="988" w:type="dxa"/>
            <w:vAlign w:val="center"/>
            <w:textDirection w:val="lrTb"/>
            <w:noWrap w:val="false"/>
          </w:tcPr>
          <w:p>
            <w:pPr>
              <w:jc w:val="center"/>
              <w:spacing w:line="276" w:lineRule="auto"/>
              <w:rPr>
                <w:rFonts w:hint="eastAsia" w:ascii="仿宋" w:hAnsi="仿宋" w:eastAsia="仿宋" w:cs="仿宋"/>
                <w:b/>
                <w:bCs/>
                <w:szCs w:val="21"/>
                <w:highlight w:val="none"/>
              </w:rPr>
            </w:pPr>
            <w:r>
              <w:rPr>
                <w:rFonts w:hint="eastAsia" w:ascii="仿宋" w:hAnsi="仿宋" w:eastAsia="仿宋" w:cs="仿宋"/>
                <w:b/>
                <w:szCs w:val="21"/>
                <w:highlight w:val="none"/>
              </w:rPr>
              <w:t xml:space="preserve">条款号</w:t>
            </w:r>
            <w:r/>
          </w:p>
        </w:tc>
        <w:tc>
          <w:tcPr>
            <w:tcW w:w="1701" w:type="dxa"/>
            <w:vAlign w:val="center"/>
            <w:textDirection w:val="lrTb"/>
            <w:noWrap w:val="false"/>
          </w:tcPr>
          <w:p>
            <w:pPr>
              <w:jc w:val="center"/>
              <w:spacing w:line="276"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条  目</w:t>
            </w:r>
            <w:r/>
          </w:p>
        </w:tc>
        <w:tc>
          <w:tcPr>
            <w:tcW w:w="6532" w:type="dxa"/>
            <w:vAlign w:val="center"/>
            <w:textDirection w:val="lrTb"/>
            <w:noWrap w:val="false"/>
          </w:tcPr>
          <w:p>
            <w:pPr>
              <w:jc w:val="center"/>
              <w:spacing w:line="276"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内     容</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项目属性</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u w:val="single"/>
              </w:rPr>
            </w:pPr>
            <w:r>
              <w:rPr>
                <w:rFonts w:hint="eastAsia" w:ascii="仿宋" w:hAnsi="仿宋" w:eastAsia="仿宋" w:cs="仿宋"/>
                <w:szCs w:val="21"/>
                <w:highlight w:val="none"/>
              </w:rPr>
              <w:t xml:space="preserve">项目属性：</w:t>
            </w:r>
            <w:r>
              <w:rPr>
                <w:rFonts w:hint="eastAsia" w:ascii="仿宋" w:hAnsi="仿宋" w:eastAsia="仿宋" w:cs="仿宋"/>
                <w:b/>
                <w:bCs/>
                <w:szCs w:val="21"/>
                <w:highlight w:val="none"/>
              </w:rPr>
              <w:t xml:space="preserve">货物</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2.3</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科研仪器设备</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是否属于科研仪器设备采购项目：否</w:t>
            </w:r>
            <w:r/>
          </w:p>
        </w:tc>
      </w:tr>
      <w:tr>
        <w:trPr>
          <w:jc w:val="center"/>
          <w:trHeight w:val="20"/>
        </w:trPr>
        <w:tc>
          <w:tcPr>
            <w:tcW w:w="988" w:type="dxa"/>
            <w:vAlign w:val="center"/>
            <w:textDirection w:val="lrTb"/>
            <w:noWrap w:val="false"/>
          </w:tcPr>
          <w:p>
            <w:pPr>
              <w:pStyle w:val="1208"/>
              <w:jc w:val="center"/>
              <w:rPr>
                <w:rFonts w:ascii="仿宋" w:hAnsi="仿宋" w:eastAsia="仿宋" w:cs="仿宋"/>
                <w:szCs w:val="21"/>
                <w:highlight w:val="none"/>
              </w:rPr>
            </w:pPr>
            <w:r>
              <w:rPr>
                <w:rFonts w:ascii="仿宋" w:hAnsi="仿宋" w:eastAsia="仿宋" w:cs="仿宋"/>
                <w:szCs w:val="21"/>
                <w:highlight w:val="none"/>
              </w:rPr>
              <w:t xml:space="preserve">2.4</w:t>
            </w:r>
            <w:r/>
          </w:p>
        </w:tc>
        <w:tc>
          <w:tcPr>
            <w:tcW w:w="170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核心产品</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b/>
                <w:bCs/>
                <w:szCs w:val="21"/>
                <w:highlight w:val="none"/>
              </w:rPr>
              <w:t xml:space="preserve">本项目为非单一产品采购项目，核心产品为：</w:t>
            </w:r>
            <w:r>
              <w:rPr>
                <w:rFonts w:hint="eastAsia" w:ascii="仿宋" w:hAnsi="仿宋" w:eastAsia="仿宋" w:cs="仿宋"/>
                <w:b/>
                <w:bCs/>
                <w:szCs w:val="21"/>
                <w:highlight w:val="none"/>
                <w:u w:val="single"/>
              </w:rPr>
              <w:t xml:space="preserve">智能化站点</w:t>
            </w:r>
            <w:r>
              <w:rPr>
                <w:rFonts w:hint="eastAsia" w:ascii="仿宋" w:hAnsi="仿宋" w:eastAsia="仿宋" w:cs="仿宋"/>
                <w:b/>
                <w:bCs/>
                <w:szCs w:val="21"/>
                <w:highlight w:val="none"/>
              </w:rPr>
              <w:t xml:space="preserve">。</w:t>
            </w:r>
            <w:r/>
          </w:p>
        </w:tc>
      </w:tr>
      <w:tr>
        <w:trPr>
          <w:jc w:val="center"/>
          <w:trHeight w:val="20"/>
        </w:trPr>
        <w:tc>
          <w:tcPr>
            <w:tcW w:w="988" w:type="dxa"/>
            <w:vAlign w:val="center"/>
            <w:vMerge w:val="restart"/>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3.1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现场考察</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不组织</w:t>
            </w:r>
            <w:r/>
          </w:p>
        </w:tc>
      </w:tr>
      <w:tr>
        <w:trPr>
          <w:jc w:val="center"/>
          <w:trHeight w:val="20"/>
        </w:trPr>
        <w:tc>
          <w:tcPr>
            <w:tcW w:w="988" w:type="dxa"/>
            <w:vAlign w:val="center"/>
            <w:vMerge w:val="continue"/>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开标前答疑会</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不召开</w:t>
            </w:r>
            <w:r/>
          </w:p>
        </w:tc>
      </w:tr>
      <w:tr>
        <w:trPr>
          <w:jc w:val="center"/>
          <w:trHeight w:val="407"/>
        </w:trPr>
        <w:tc>
          <w:tcPr>
            <w:tcW w:w="988" w:type="dxa"/>
            <w:vAlign w:val="center"/>
            <w:textDirection w:val="lrTb"/>
            <w:noWrap w:val="false"/>
          </w:tcPr>
          <w:p>
            <w:pPr>
              <w:pStyle w:val="1208"/>
              <w:jc w:val="center"/>
              <w:rPr>
                <w:rFonts w:ascii="仿宋" w:hAnsi="仿宋" w:eastAsia="仿宋" w:cs="仿宋"/>
                <w:szCs w:val="21"/>
                <w:highlight w:val="none"/>
              </w:rPr>
            </w:pPr>
            <w:r>
              <w:rPr>
                <w:rFonts w:ascii="仿宋" w:hAnsi="仿宋" w:eastAsia="仿宋" w:cs="仿宋"/>
                <w:szCs w:val="21"/>
                <w:highlight w:val="none"/>
              </w:rPr>
              <w:t xml:space="preserve">4.1</w:t>
            </w:r>
            <w:r/>
          </w:p>
        </w:tc>
        <w:tc>
          <w:tcPr>
            <w:tcW w:w="170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样品</w:t>
            </w:r>
            <w:r/>
          </w:p>
        </w:tc>
        <w:tc>
          <w:tcPr>
            <w:tcW w:w="6532" w:type="dxa"/>
            <w:vAlign w:val="center"/>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投标样品递交：不需要</w:t>
            </w:r>
            <w:r/>
          </w:p>
        </w:tc>
      </w:tr>
      <w:tr>
        <w:trPr>
          <w:jc w:val="center"/>
          <w:trHeight w:val="412"/>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5.2.5</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标的所属行业</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本项目采购标的对应的中小企业划分标准所属行业：</w:t>
            </w:r>
            <w:r>
              <w:rPr>
                <w:rFonts w:hint="eastAsia" w:ascii="仿宋" w:hAnsi="仿宋" w:eastAsia="仿宋" w:cs="仿宋"/>
                <w:b/>
                <w:bCs/>
                <w:szCs w:val="21"/>
                <w:highlight w:val="none"/>
                <w:u w:val="single"/>
              </w:rPr>
              <w:t xml:space="preserve">工业</w:t>
            </w:r>
            <w:r/>
          </w:p>
        </w:tc>
      </w:tr>
      <w:tr>
        <w:trPr>
          <w:jc w:val="center"/>
          <w:trHeight w:val="409"/>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11.2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投标报价</w:t>
            </w:r>
            <w:r/>
          </w:p>
        </w:tc>
        <w:tc>
          <w:tcPr>
            <w:tcW w:w="6532" w:type="dxa"/>
            <w:vAlign w:val="center"/>
            <w:textDirection w:val="lrTb"/>
            <w:noWrap w:val="false"/>
          </w:tcPr>
          <w:p>
            <w:pPr>
              <w:jc w:val="left"/>
              <w:spacing w:line="276"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报价的特殊规定：无</w:t>
            </w:r>
            <w:r>
              <w:rPr>
                <w:rFonts w:hint="eastAsia" w:ascii="仿宋" w:hAnsi="仿宋" w:eastAsia="仿宋" w:cs="仿宋"/>
                <w:b/>
                <w:bCs/>
                <w:szCs w:val="21"/>
                <w:highlight w:val="none"/>
              </w:rPr>
              <w:t xml:space="preserve">。</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投标保证金</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免收</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13.1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投标有效期</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自提交投标文件的截止之日起算90日历天。</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14.1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投标文件份数</w:t>
            </w:r>
            <w:r>
              <w:rPr>
                <w:rFonts w:hint="eastAsia" w:ascii="仿宋" w:hAnsi="仿宋" w:eastAsia="仿宋" w:cs="仿宋"/>
                <w:szCs w:val="21"/>
                <w:highlight w:val="none"/>
              </w:rPr>
              <w:tab/>
            </w:r>
            <w:r/>
          </w:p>
        </w:tc>
        <w:tc>
          <w:tcPr>
            <w:tcW w:w="6532" w:type="dxa"/>
            <w:vAlign w:val="center"/>
            <w:textDirection w:val="lrTb"/>
            <w:noWrap w:val="false"/>
          </w:tcPr>
          <w:p>
            <w:pPr>
              <w:jc w:val="left"/>
              <w:spacing w:line="276"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本项目为“苏采云”政府采购一体化平台全流程线上招投标，投标时各供应商应按招标文件及”苏采云”政府采购一体化平台规定制作并提交电子版投标文件。</w:t>
            </w:r>
            <w:r/>
          </w:p>
          <w:p>
            <w:pPr>
              <w:jc w:val="left"/>
              <w:spacing w:line="276" w:lineRule="auto"/>
              <w:rPr>
                <w:rFonts w:hint="eastAsia" w:ascii="仿宋" w:hAnsi="仿宋" w:eastAsia="仿宋" w:cs="仿宋"/>
                <w:szCs w:val="21"/>
                <w:highlight w:val="none"/>
              </w:rPr>
            </w:pPr>
            <w:r>
              <w:rPr>
                <w:rFonts w:hint="eastAsia" w:ascii="仿宋" w:hAnsi="仿宋" w:eastAsia="仿宋" w:cs="仿宋"/>
                <w:b/>
                <w:bCs/>
                <w:szCs w:val="21"/>
                <w:highlight w:val="none"/>
              </w:rPr>
              <w:t xml:space="preserve">中标结果确定后中标单位应提交胶装并加盖公章的纸质版投标文件贰份，纸质投标文件应与“苏采云”政府采购一体化平台中的电子文件内容、格式一致。</w:t>
            </w:r>
            <w:r/>
          </w:p>
        </w:tc>
      </w:tr>
      <w:tr>
        <w:trPr>
          <w:jc w:val="center"/>
          <w:trHeight w:val="338"/>
        </w:trPr>
        <w:tc>
          <w:tcPr>
            <w:tcW w:w="988" w:type="dxa"/>
            <w:vAlign w:val="center"/>
            <w:textDirection w:val="lrTb"/>
            <w:noWrap w:val="false"/>
          </w:tcPr>
          <w:p>
            <w:pPr>
              <w:pStyle w:val="1208"/>
              <w:jc w:val="center"/>
              <w:rPr>
                <w:rFonts w:ascii="仿宋" w:hAnsi="仿宋" w:eastAsia="仿宋" w:cs="仿宋"/>
                <w:szCs w:val="21"/>
                <w:highlight w:val="none"/>
              </w:rPr>
            </w:pPr>
            <w:r>
              <w:rPr>
                <w:rFonts w:ascii="仿宋" w:hAnsi="仿宋" w:eastAsia="仿宋" w:cs="仿宋"/>
                <w:szCs w:val="21"/>
                <w:highlight w:val="none"/>
              </w:rPr>
              <w:t xml:space="preserve">25.5</w:t>
            </w:r>
            <w:r/>
          </w:p>
        </w:tc>
        <w:tc>
          <w:tcPr>
            <w:tcW w:w="170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分包</w:t>
            </w:r>
            <w:r/>
          </w:p>
        </w:tc>
        <w:tc>
          <w:tcPr>
            <w:tcW w:w="6532" w:type="dxa"/>
            <w:vAlign w:val="center"/>
            <w:textDirection w:val="lrTb"/>
            <w:noWrap w:val="false"/>
          </w:tcPr>
          <w:p>
            <w:pPr>
              <w:jc w:val="left"/>
              <w:rPr>
                <w:rFonts w:hint="eastAsia" w:ascii="仿宋" w:hAnsi="仿宋" w:eastAsia="仿宋" w:cs="仿宋"/>
                <w:szCs w:val="21"/>
                <w:highlight w:val="none"/>
                <w:u w:val="single"/>
              </w:rPr>
            </w:pPr>
            <w:r>
              <w:rPr>
                <w:rFonts w:hint="eastAsia" w:ascii="仿宋" w:hAnsi="仿宋" w:eastAsia="仿宋" w:cs="仿宋"/>
                <w:szCs w:val="21"/>
                <w:highlight w:val="none"/>
              </w:rPr>
              <w:t xml:space="preserve">本项目的非主体、非关键性工作是否允许分包：不允许</w:t>
            </w:r>
            <w:r/>
          </w:p>
        </w:tc>
      </w:tr>
      <w:tr>
        <w:trPr>
          <w:jc w:val="center"/>
          <w:trHeight w:val="9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26.1</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询问</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询问送达形式：接收加盖单位公章的书面询问函</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采购人或采购代理机构对供应商依法提出的询问，在3个工作日内作出答复，但答复的内容不得涉及商业秘密。</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26.2</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质疑</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质疑送达形式：</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一、供应商认为自己的权益受到损害的，可以在知道或者应知其权益受到损害之日起七个工作日内，向采购代理机构提出质疑。</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1.接收质疑函的方式：接收加盖单位公章的书面质疑函</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2.质疑函的内容、格式：应符合《政府采购质疑和投诉办法》相关规定和财政部门制定的《政府采购质疑函范本》格式。</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二、供应商应在法定质疑期内一次性针对同一采购程序环节提出质疑，否则针对再次提出的质疑将不予接收。（采购程序环节分为：采购公告、招标文件、采购过程、成交结果）</w:t>
            </w:r>
            <w:r/>
          </w:p>
        </w:tc>
      </w:tr>
      <w:tr>
        <w:trPr>
          <w:jc w:val="center"/>
          <w:trHeight w:val="20"/>
        </w:trPr>
        <w:tc>
          <w:tcPr>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26.3</w:t>
            </w:r>
            <w:r/>
          </w:p>
        </w:tc>
        <w:tc>
          <w:tcPr>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联系方式</w:t>
            </w:r>
            <w:r/>
          </w:p>
        </w:tc>
        <w:tc>
          <w:tcPr>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接收询问和质疑的联系方式</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联系单位：江苏城建校工程咨询有限公司</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 系 人：钱工</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联系电话：13585347085</w:t>
            </w:r>
            <w:r/>
          </w:p>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通讯地址：常州市钟楼区清潭路85-2号305室</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208"/>
              <w:jc w:val="center"/>
              <w:spacing w:line="276" w:lineRule="auto"/>
              <w:rPr>
                <w:rFonts w:ascii="仿宋" w:hAnsi="仿宋" w:eastAsia="仿宋" w:cs="仿宋"/>
                <w:szCs w:val="21"/>
                <w:highlight w:val="none"/>
              </w:rPr>
            </w:pPr>
            <w:r>
              <w:rPr>
                <w:rFonts w:ascii="仿宋" w:hAnsi="仿宋" w:eastAsia="仿宋" w:cs="仿宋"/>
                <w:szCs w:val="21"/>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代理费</w:t>
            </w:r>
            <w:r/>
          </w:p>
        </w:tc>
        <w:tc>
          <w:tcPr>
            <w:tcBorders>
              <w:top w:val="single" w:color="auto" w:sz="4" w:space="0"/>
              <w:left w:val="single" w:color="auto" w:sz="4" w:space="0"/>
              <w:bottom w:val="single" w:color="auto" w:sz="4" w:space="0"/>
              <w:right w:val="single" w:color="auto" w:sz="4" w:space="0"/>
            </w:tcBorders>
            <w:tcW w:w="6532" w:type="dxa"/>
            <w:vAlign w:val="center"/>
            <w:textDirection w:val="lrTb"/>
            <w:noWrap w:val="false"/>
          </w:tcPr>
          <w:p>
            <w:pPr>
              <w:jc w:val="left"/>
              <w:spacing w:line="276" w:lineRule="auto"/>
              <w:rPr>
                <w:rFonts w:hint="eastAsia" w:ascii="仿宋" w:hAnsi="仿宋" w:eastAsia="仿宋" w:cs="仿宋"/>
                <w:szCs w:val="21"/>
                <w:highlight w:val="none"/>
              </w:rPr>
            </w:pPr>
            <w:r>
              <w:rPr>
                <w:rFonts w:hint="eastAsia" w:ascii="仿宋" w:hAnsi="仿宋" w:eastAsia="仿宋" w:cs="仿宋"/>
                <w:szCs w:val="21"/>
                <w:highlight w:val="none"/>
              </w:rPr>
              <w:t xml:space="preserve">收费对象：采购人</w:t>
            </w:r>
            <w:r/>
          </w:p>
          <w:p>
            <w:pPr>
              <w:jc w:val="left"/>
              <w:rPr>
                <w:rFonts w:hint="eastAsia" w:ascii="仿宋" w:hAnsi="仿宋" w:eastAsia="仿宋" w:cs="仿宋"/>
                <w:highlight w:val="none"/>
              </w:rPr>
            </w:pPr>
            <w:r>
              <w:rPr>
                <w:rFonts w:hint="eastAsia" w:ascii="仿宋" w:hAnsi="仿宋" w:eastAsia="仿宋" w:cs="仿宋"/>
                <w:szCs w:val="21"/>
                <w:highlight w:val="none"/>
              </w:rPr>
              <w:t xml:space="preserve">收费标准：按代理合同约定执行。</w:t>
            </w:r>
            <w:r/>
          </w:p>
        </w:tc>
      </w:tr>
    </w:tbl>
    <w:p>
      <w:pPr>
        <w:jc w:val="center"/>
        <w:spacing w:before="240" w:after="240"/>
        <w:rPr>
          <w:rFonts w:hint="eastAsia" w:ascii="仿宋" w:hAnsi="仿宋" w:eastAsia="仿宋" w:cs="仿宋"/>
          <w:b/>
          <w:sz w:val="28"/>
          <w:szCs w:val="28"/>
          <w:highlight w:val="none"/>
        </w:rPr>
      </w:pPr>
      <w:r/>
      <w:bookmarkStart w:id="71" w:name="_Toc150480755"/>
      <w:r/>
      <w:bookmarkStart w:id="72" w:name="_Toc226965790"/>
      <w:r/>
      <w:bookmarkStart w:id="73" w:name="_Toc265228355"/>
      <w:r/>
      <w:bookmarkStart w:id="74" w:name="_Toc195842882"/>
      <w:r/>
      <w:bookmarkStart w:id="75" w:name="_Toc353825542"/>
      <w:r/>
      <w:bookmarkStart w:id="76" w:name="_Toc353873932"/>
      <w:r/>
      <w:bookmarkStart w:id="77" w:name="_Toc226337213"/>
      <w:r/>
      <w:bookmarkStart w:id="78" w:name="_Toc264969207"/>
      <w:r/>
      <w:bookmarkStart w:id="79" w:name="_Toc353873662"/>
      <w:r/>
      <w:bookmarkStart w:id="80" w:name="_Toc305158785"/>
      <w:r/>
      <w:bookmarkStart w:id="81" w:name="_Toc142311019"/>
      <w:r/>
      <w:bookmarkStart w:id="82" w:name="_Toc127151517"/>
      <w:r/>
      <w:bookmarkStart w:id="83" w:name="_Toc305158859"/>
      <w:r/>
      <w:bookmarkStart w:id="84" w:name="_Toc150774722"/>
      <w:r>
        <w:rPr>
          <w:rFonts w:hint="eastAsia" w:ascii="仿宋" w:hAnsi="仿宋" w:eastAsia="仿宋" w:cs="仿宋"/>
          <w:b/>
          <w:sz w:val="28"/>
          <w:szCs w:val="28"/>
          <w:highlight w:val="none"/>
        </w:rPr>
        <w:br w:type="page" w:clear="all"/>
      </w:r>
      <w:r>
        <w:rPr>
          <w:rFonts w:hint="eastAsia" w:ascii="仿宋" w:hAnsi="仿宋" w:eastAsia="仿宋" w:cs="仿宋"/>
          <w:b/>
          <w:sz w:val="28"/>
          <w:szCs w:val="28"/>
          <w:highlight w:val="none"/>
        </w:rPr>
        <w:t xml:space="preserve">供应商须知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186"/>
        <w:jc w:val="left"/>
        <w:spacing w:before="0" w:line="360" w:lineRule="auto"/>
        <w:tabs>
          <w:tab w:val="center" w:pos="4592" w:leader="none"/>
          <w:tab w:val="left" w:pos="7860" w:leader="none"/>
        </w:tabs>
        <w:rPr>
          <w:rFonts w:hint="eastAsia" w:ascii="仿宋" w:hAnsi="仿宋" w:eastAsia="仿宋" w:cs="仿宋"/>
          <w:sz w:val="28"/>
          <w:highlight w:val="none"/>
        </w:rPr>
      </w:pPr>
      <w:r/>
      <w:bookmarkStart w:id="85" w:name="_Toc127151518"/>
      <w:r/>
      <w:bookmarkStart w:id="86" w:name="_Toc520356143"/>
      <w:r>
        <w:rPr>
          <w:rFonts w:hint="eastAsia" w:ascii="仿宋" w:hAnsi="仿宋" w:eastAsia="仿宋" w:cs="仿宋"/>
          <w:sz w:val="28"/>
          <w:highlight w:val="none"/>
        </w:rPr>
        <w:tab/>
      </w:r>
      <w:bookmarkStart w:id="87" w:name="_Toc226337214"/>
      <w:r/>
      <w:bookmarkStart w:id="88" w:name="_Toc151190145"/>
      <w:r/>
      <w:bookmarkStart w:id="89" w:name="_Toc151193616"/>
      <w:r/>
      <w:bookmarkStart w:id="90" w:name="_Toc226965791"/>
      <w:r/>
      <w:bookmarkStart w:id="91" w:name="_Toc195842883"/>
      <w:r/>
      <w:bookmarkStart w:id="92" w:name="_Toc150480756"/>
      <w:r/>
      <w:bookmarkStart w:id="93" w:name="_Toc151193832"/>
      <w:r/>
      <w:bookmarkStart w:id="94" w:name="_Toc142311020"/>
      <w:r/>
      <w:bookmarkStart w:id="95" w:name="_Toc150774618"/>
      <w:r/>
      <w:bookmarkStart w:id="96" w:name="_Toc150774723"/>
      <w:r/>
      <w:bookmarkStart w:id="97" w:name="_Toc305158860"/>
      <w:r/>
      <w:bookmarkStart w:id="98" w:name="_Toc264969208"/>
      <w:r/>
      <w:bookmarkStart w:id="99" w:name="_Toc305158786"/>
      <w:r/>
      <w:bookmarkStart w:id="100" w:name="_Toc226309762"/>
      <w:r/>
      <w:bookmarkStart w:id="101" w:name="_Toc226965708"/>
      <w:r/>
      <w:bookmarkStart w:id="102" w:name="_Toc150509269"/>
      <w:r/>
      <w:bookmarkStart w:id="103" w:name="_Toc151193760"/>
      <w:r/>
      <w:bookmarkStart w:id="104" w:name="_Toc151193906"/>
      <w:r/>
      <w:bookmarkStart w:id="105" w:name="_Toc151193688"/>
      <w:r/>
      <w:bookmarkStart w:id="106" w:name="_Toc265228356"/>
      <w:r>
        <w:rPr>
          <w:rFonts w:hint="eastAsia" w:ascii="仿宋" w:hAnsi="仿宋" w:eastAsia="仿宋" w:cs="仿宋"/>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仿宋" w:hAnsi="仿宋" w:eastAsia="仿宋" w:cs="仿宋"/>
          <w:sz w:val="28"/>
          <w:highlight w:val="none"/>
        </w:rPr>
        <w:tab/>
      </w:r>
      <w:r/>
    </w:p>
    <w:p>
      <w:pPr>
        <w:pStyle w:val="1278"/>
        <w:ind w:firstLine="420"/>
        <w:spacing w:line="360" w:lineRule="auto"/>
        <w:rPr>
          <w:rFonts w:hint="eastAsia" w:ascii="仿宋" w:hAnsi="仿宋" w:eastAsia="仿宋" w:cs="仿宋"/>
          <w:sz w:val="21"/>
          <w:szCs w:val="21"/>
          <w:highlight w:val="none"/>
        </w:rPr>
      </w:pPr>
      <w:r/>
      <w:bookmarkStart w:id="107" w:name="_Toc305158787"/>
      <w:r/>
      <w:bookmarkStart w:id="108" w:name="_Toc265228357"/>
      <w:r/>
      <w:bookmarkStart w:id="109" w:name="_Toc305158861"/>
      <w:r/>
      <w:bookmarkStart w:id="110" w:name="_Toc264969209"/>
      <w:r>
        <w:rPr>
          <w:rFonts w:hint="eastAsia" w:ascii="仿宋" w:hAnsi="仿宋" w:eastAsia="仿宋" w:cs="仿宋"/>
          <w:sz w:val="21"/>
          <w:szCs w:val="21"/>
          <w:highlight w:val="none"/>
        </w:rPr>
        <w:t xml:space="preserve">1.采购人、采购代理机构、</w:t>
      </w:r>
      <w:bookmarkEnd w:id="107"/>
      <w:r/>
      <w:bookmarkEnd w:id="108"/>
      <w:r/>
      <w:bookmarkEnd w:id="109"/>
      <w:r/>
      <w:bookmarkEnd w:id="110"/>
      <w:r>
        <w:rPr>
          <w:rFonts w:hint="eastAsia" w:ascii="仿宋" w:hAnsi="仿宋" w:eastAsia="仿宋" w:cs="仿宋"/>
          <w:sz w:val="21"/>
          <w:szCs w:val="21"/>
          <w:highlight w:val="none"/>
        </w:rPr>
        <w:t xml:space="preserve">供应商、联合体</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1.1采购人、采购代理机构：指依法进行政府采购的国家机关、事业单位、团体组织，及其委托的采购代理机构。本项目采购人、采购代理机构见第一章《投标邀请》。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1.2供应商（也称“投标人”、“申请人”）：指向采购人提供货物、工程或者服务的法人、其他组织或者自然人。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1.3联合体：指两个以上的自然人、法人或者其他组织组成一个联合体，以一个供应商的身份共同参加政府采购。</w:t>
      </w:r>
      <w:r/>
    </w:p>
    <w:p>
      <w:pPr>
        <w:pStyle w:val="1278"/>
        <w:ind w:firstLine="420"/>
        <w:spacing w:line="360" w:lineRule="auto"/>
        <w:rPr>
          <w:rFonts w:hint="eastAsia" w:ascii="仿宋" w:hAnsi="仿宋" w:eastAsia="仿宋" w:cs="仿宋"/>
          <w:sz w:val="21"/>
          <w:szCs w:val="21"/>
          <w:highlight w:val="none"/>
        </w:rPr>
      </w:pPr>
      <w:r/>
      <w:bookmarkStart w:id="111" w:name="_Toc151193834"/>
      <w:r/>
      <w:bookmarkStart w:id="112" w:name="_Toc151193618"/>
      <w:r/>
      <w:bookmarkStart w:id="113" w:name="_Toc150509271"/>
      <w:r/>
      <w:bookmarkStart w:id="114" w:name="_Toc127151721"/>
      <w:r/>
      <w:bookmarkStart w:id="115" w:name="_Toc150774725"/>
      <w:r/>
      <w:bookmarkStart w:id="116" w:name="_Toc149720813"/>
      <w:r/>
      <w:bookmarkStart w:id="117" w:name="_Toc164351614"/>
      <w:r/>
      <w:bookmarkStart w:id="118" w:name="_Toc164229215"/>
      <w:r/>
      <w:bookmarkStart w:id="119" w:name="_Toc195842885"/>
      <w:r/>
      <w:bookmarkStart w:id="120" w:name="_Toc151190147"/>
      <w:r/>
      <w:bookmarkStart w:id="121" w:name="_Toc127151520"/>
      <w:r/>
      <w:bookmarkStart w:id="122" w:name="_Toc226337216"/>
      <w:r/>
      <w:bookmarkStart w:id="123" w:name="_Toc150480758"/>
      <w:r/>
      <w:bookmarkStart w:id="124" w:name="_Toc164229361"/>
      <w:r/>
      <w:bookmarkStart w:id="125" w:name="_Toc164608789"/>
      <w:r/>
      <w:bookmarkStart w:id="126" w:name="_Toc151193762"/>
      <w:r/>
      <w:bookmarkStart w:id="127" w:name="_Toc226309764"/>
      <w:r/>
      <w:bookmarkStart w:id="128" w:name="_Toc151193908"/>
      <w:r/>
      <w:bookmarkStart w:id="129" w:name="_Toc142311022"/>
      <w:r/>
      <w:bookmarkStart w:id="130" w:name="_Toc264969210"/>
      <w:r/>
      <w:bookmarkStart w:id="131" w:name="_Toc226965710"/>
      <w:r/>
      <w:bookmarkStart w:id="132" w:name="_Toc305158788"/>
      <w:r/>
      <w:bookmarkStart w:id="133" w:name="_Toc151193690"/>
      <w:r/>
      <w:bookmarkStart w:id="134" w:name="_Toc127161434"/>
      <w:r/>
      <w:bookmarkStart w:id="135" w:name="_Toc265228358"/>
      <w:r/>
      <w:bookmarkStart w:id="136" w:name="_Toc164608634"/>
      <w:r/>
      <w:bookmarkStart w:id="137" w:name="_Toc150774620"/>
      <w:r/>
      <w:bookmarkStart w:id="138" w:name="_Toc305158862"/>
      <w:r/>
      <w:bookmarkStart w:id="139" w:name="_Toc226965793"/>
      <w:r>
        <w:rPr>
          <w:rFonts w:hint="eastAsia" w:ascii="仿宋" w:hAnsi="仿宋" w:eastAsia="仿宋" w:cs="仿宋"/>
          <w:sz w:val="21"/>
          <w:szCs w:val="21"/>
          <w:highlight w:val="none"/>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仿宋" w:hAnsi="仿宋" w:eastAsia="仿宋" w:cs="仿宋"/>
          <w:sz w:val="21"/>
          <w:szCs w:val="21"/>
          <w:highlight w:val="none"/>
        </w:rPr>
        <w:t xml:space="preserve">、项目属性、科研仪器设备采购、核心产品</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2.1资金来源为财政性资金和/或本项目采购中无法与财政性资金分割的非财政性资金。</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2.2项目属性见《供应商须知资料表》。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2.3是否属于科研仪器设备采购见《供应商须知资料表》。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2.4核心产品见《供应商须知资料表》。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3.现场考察、开标前答疑会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3.1若《供应商须知资料表》中规定了组织现场考察、召开开标前答疑会，则供应商应按要求在规定的时间和地点参加。</w:t>
      </w:r>
      <w:bookmarkStart w:id="140" w:name="_Toc151193836"/>
      <w:r/>
      <w:bookmarkStart w:id="141" w:name="_Toc150480760"/>
      <w:r/>
      <w:bookmarkStart w:id="142" w:name="_Toc305158864"/>
      <w:r/>
      <w:bookmarkStart w:id="143" w:name="_Toc150509273"/>
      <w:r/>
      <w:bookmarkStart w:id="144" w:name="_Toc151193764"/>
      <w:r/>
      <w:bookmarkStart w:id="145" w:name="_Toc150774622"/>
      <w:r/>
      <w:bookmarkStart w:id="146" w:name="_Toc520356146"/>
      <w:r/>
      <w:bookmarkStart w:id="147" w:name="_Toc195842887"/>
      <w:r/>
      <w:bookmarkStart w:id="148" w:name="_Toc150774727"/>
      <w:r/>
      <w:bookmarkStart w:id="149" w:name="_Toc151193620"/>
      <w:r/>
      <w:bookmarkStart w:id="150" w:name="_Toc305158790"/>
      <w:r/>
      <w:bookmarkStart w:id="151" w:name="_Toc127151522"/>
      <w:r/>
      <w:bookmarkStart w:id="152" w:name="_Toc226965712"/>
      <w:r/>
      <w:bookmarkStart w:id="153" w:name="_Toc151190149"/>
      <w:r/>
      <w:bookmarkStart w:id="154" w:name="_Toc226965795"/>
      <w:r/>
      <w:bookmarkStart w:id="155" w:name="_Toc226337218"/>
      <w:r/>
      <w:bookmarkStart w:id="156" w:name="_Toc226309766"/>
      <w:r/>
      <w:bookmarkStart w:id="157" w:name="_Toc265228360"/>
      <w:r/>
      <w:bookmarkStart w:id="158" w:name="_Toc151193910"/>
      <w:r/>
      <w:bookmarkStart w:id="159" w:name="_Toc151193692"/>
      <w:r/>
      <w:bookmarkStart w:id="160" w:name="_Toc264969212"/>
      <w:r/>
      <w:bookmarkStart w:id="161" w:name="_Toc142311024"/>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3.2由于未参加现场考察或开标前答疑会而导致对项目实际情况不了解，影响投标文件编制、投标报价准确性、综合因素响应不全面等问题的，由供应商自行承担不利评审后果。</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4.样品</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4.1本项目是否要求供应商提供样品，以及样品制作的标准和要求、是否需要随样品提交相关检测报告、样品的递交与退还等要求见《供应商须知资料表》。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4.2样品的评审方法以及评审标准等内容见第四章《评标方法和评标标准》。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5.政府采购政策（包括但不限于下列具体政策要求）</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5.1进口产品</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5.2中小企业、监狱企业及残疾人福利性单位</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5.2.1中小企业定义：</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5.2.1.1中小企业是</w:t>
      </w:r>
      <w:r>
        <w:rPr>
          <w:rFonts w:hint="eastAsia" w:ascii="仿宋" w:hAnsi="仿宋" w:eastAsia="仿宋" w:cs="仿宋"/>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5.2.1.2供应商提供的货物、工程或者服务符合下列情形的，享受中小企业扶持政策：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（1）在货物采购项目中，货物由中小企业制造，即货物由中小企业生产且使用该中小企业商号或者注册商标；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（2）在工程采购项目中，工程由中小企业承建，即工程施工单位为中小企业；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（3）在服务采购项目中，服务由中小企业承接，即提供服务的人员为中小企业依照《中华人民共和国劳动合同法》订立劳动合同的从业人员。</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5.2.1.3在货物采购项目中，供应商提供的货物既有中小企业制造货物，也有大型企业制造货物的，不享受中小企业扶持政策。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5.2.1.4以联合体形式参加政府采购活动，联合体各方均为中小企业的，联合体视同中小企业。其中，联合体各方均为小微企业的，联合体视同小微企业。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5.2.3残疾人福利单位定义：享受政府采购支持政策的残疾人福利性单位应当同时满足以下条件：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5.2.3.1安置的残疾人占本单位在职职工人数的比例不低于25%（含25%），并且安置的残疾人人数不少于10 人（含10 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5.2.3.2依法与安置的每位残疾人签订了一年以上（含一年）的劳动合同或服务协议；</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5.2.3.3为安置的每位残疾人按月足额缴纳了基本养老保险、基本医疗保险、失业保险、工伤保险和生育保险等社会保险费；</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5.2.3.4通过银行等金融机构向安置的每位残疾人，按月支付了不低于单位所在区县适用的经省级人民政府批准的月最低工资标准的工资；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5.2.3.5提供本单位制造的货物、承担的工程或者服务（以下简称产品），或者提供其他残疾人福利性单位制造的货物（不包括使用非残疾人福利性单位注册商标的货物）；</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5.2.4本项目是否专门面向中小企业预留采购份额见第一章《投标邀请》。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5.2.5采购标的对应的中小企业划分标准所属行业见《供应商须知资料表》。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5.2.6小微企业价格评审优惠的政策调整：见第四章《评标方法和评标标准》。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5.3政府采购节能产品、环境标志产品</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5.3.3如本项目采购产品属于实施政府强制采购品目清单范围的节能产品，则供应商所报产品必须获得国家确定的认证机构出具的、处于有效期之内的节能产品认证证书，否则投标无效；</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5.3.4非政府强制采购的节能产品或环境标志产品，依据品目清单和认证证书实施政府优先采购。优先采购的具体规定见第四章《评标方法和评标标准》（如涉及）。</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5.4支持乡村产业振兴管理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5.5正版软件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5.6政府采购创新产品政策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5.6.1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5.7绿色采购政策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5.7.1  绿色数据中心政策 </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依据《绿色数据中心政府采购需求标准（试行）》（财办库〔2023〕7 号）文件精神，采购</w:t>
      </w:r>
      <w:r>
        <w:rPr>
          <w:rFonts w:hint="eastAsia" w:ascii="仿宋" w:hAnsi="仿宋" w:eastAsia="仿宋" w:cs="仿宋"/>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5.7.2 推广应用绿色建材</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5.7.3 优先使用低挥发性有机化合物产品</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6.投标费用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6.1供应商应自行承担所有与准备和参加投标有关的费用，无论投标的结果如何，</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6.2采购人或采购代理机构在任何情况下均无承担这些费用的义务和责任。</w:t>
      </w:r>
      <w:r/>
    </w:p>
    <w:p>
      <w:pPr>
        <w:pStyle w:val="1186"/>
        <w:spacing w:before="0" w:line="360" w:lineRule="auto"/>
        <w:rPr>
          <w:rFonts w:hint="eastAsia" w:ascii="仿宋" w:hAnsi="仿宋" w:eastAsia="仿宋" w:cs="仿宋"/>
          <w:sz w:val="21"/>
          <w:szCs w:val="21"/>
          <w:highlight w:val="none"/>
        </w:rPr>
      </w:pPr>
      <w:r/>
      <w:bookmarkStart w:id="162" w:name="_1.8_计量单位"/>
      <w:r/>
      <w:bookmarkEnd w:id="162"/>
      <w:r>
        <w:rPr>
          <w:rFonts w:hint="eastAsia" w:ascii="仿宋" w:hAnsi="仿宋" w:eastAsia="仿宋" w:cs="仿宋"/>
          <w:sz w:val="21"/>
          <w:szCs w:val="21"/>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pStyle w:val="1278"/>
        <w:ind w:firstLine="420"/>
        <w:spacing w:line="360" w:lineRule="auto"/>
        <w:rPr>
          <w:rFonts w:hint="eastAsia" w:ascii="仿宋" w:hAnsi="仿宋" w:eastAsia="仿宋" w:cs="仿宋"/>
          <w:sz w:val="21"/>
          <w:szCs w:val="21"/>
          <w:highlight w:val="none"/>
        </w:rPr>
      </w:pPr>
      <w:r/>
      <w:bookmarkStart w:id="163" w:name="_Toc305158865"/>
      <w:r/>
      <w:bookmarkStart w:id="164" w:name="_Toc149720816"/>
      <w:r/>
      <w:bookmarkStart w:id="165" w:name="_Toc127161437"/>
      <w:r/>
      <w:bookmarkStart w:id="166" w:name="_Toc151193837"/>
      <w:r/>
      <w:bookmarkStart w:id="167" w:name="_Toc164608637"/>
      <w:r/>
      <w:bookmarkStart w:id="168" w:name="_Toc265228361"/>
      <w:r/>
      <w:bookmarkStart w:id="169" w:name="_Toc164608792"/>
      <w:r/>
      <w:bookmarkStart w:id="170" w:name="_Toc164229364"/>
      <w:r/>
      <w:bookmarkStart w:id="171" w:name="_Toc164351617"/>
      <w:r/>
      <w:bookmarkStart w:id="172" w:name="_Toc520356147"/>
      <w:r/>
      <w:bookmarkStart w:id="173" w:name="_Toc127151724"/>
      <w:r/>
      <w:bookmarkStart w:id="174" w:name="_Toc150774728"/>
      <w:r/>
      <w:bookmarkStart w:id="175" w:name="_Toc226965713"/>
      <w:r/>
      <w:bookmarkStart w:id="176" w:name="_Toc226309767"/>
      <w:r/>
      <w:bookmarkStart w:id="177" w:name="_Toc164229218"/>
      <w:r/>
      <w:bookmarkStart w:id="178" w:name="_Toc127151523"/>
      <w:r/>
      <w:bookmarkStart w:id="179" w:name="_Toc151193693"/>
      <w:r/>
      <w:bookmarkStart w:id="180" w:name="_Toc150774623"/>
      <w:r/>
      <w:bookmarkStart w:id="181" w:name="_Toc150509274"/>
      <w:r/>
      <w:bookmarkStart w:id="182" w:name="_Toc150480761"/>
      <w:r/>
      <w:bookmarkStart w:id="183" w:name="_Toc151193765"/>
      <w:r/>
      <w:bookmarkStart w:id="184" w:name="_Toc226965796"/>
      <w:r/>
      <w:bookmarkStart w:id="185" w:name="_Toc264969213"/>
      <w:r/>
      <w:bookmarkStart w:id="186" w:name="_Toc151193621"/>
      <w:r/>
      <w:bookmarkStart w:id="187" w:name="_Toc226337219"/>
      <w:r/>
      <w:bookmarkStart w:id="188" w:name="_Toc195842888"/>
      <w:r/>
      <w:bookmarkStart w:id="189" w:name="_Toc151190150"/>
      <w:r/>
      <w:bookmarkStart w:id="190" w:name="_Toc142311025"/>
      <w:r/>
      <w:bookmarkStart w:id="191" w:name="_Toc151193911"/>
      <w:r/>
      <w:bookmarkStart w:id="192" w:name="_Toc305158791"/>
      <w:r>
        <w:rPr>
          <w:rFonts w:hint="eastAsia" w:ascii="仿宋" w:hAnsi="仿宋" w:eastAsia="仿宋" w:cs="仿宋"/>
          <w:sz w:val="21"/>
          <w:szCs w:val="21"/>
          <w:highlight w:val="none"/>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sz w:val="21"/>
          <w:szCs w:val="21"/>
          <w:highlight w:val="none"/>
        </w:rPr>
        <w:t xml:space="preserve">成</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7.1招标文件包括以下部分：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第一章 投标邀请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第二章 供应商须知</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第三章 资格审查</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第四章 评标程序、评标方法和评标标准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第五章 采购需求</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第六章 拟签订的合同文本</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第七章 投标文件格式</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7.2供应商应认真阅读招标文件的全部内容。供应商应按照招标文件要求提交投标文件并保证所提供的全部资料的真实性，并对招标文件做出实质性响应，否则投标无效。</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8.对招标文件的澄清或修改</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8.1采购人或采购代理机构对已发出的招标文件进行必要澄清或者修改的，将在原公告发布媒体上以发布更正公告的形式通知所有获取招标文件的潜在供应商。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8.2澄清或者修改的内容为招标文件的组成部分，并对所有获取招标文件的潜在供应商具有约束力。澄清或者修改的内容可能影响投标文件编制的，将在投标截止时间至少15日前，以更正公告形式通知所有获取招标文件的潜在供应商；不足15日的，将顺延提交投标文件的截止时间和开标时间。</w:t>
      </w:r>
      <w:r/>
    </w:p>
    <w:p>
      <w:pPr>
        <w:pStyle w:val="1186"/>
        <w:spacing w:before="0" w:line="360" w:lineRule="auto"/>
        <w:rPr>
          <w:rFonts w:hint="eastAsia" w:ascii="仿宋" w:hAnsi="仿宋" w:eastAsia="仿宋" w:cs="仿宋"/>
          <w:sz w:val="21"/>
          <w:szCs w:val="21"/>
          <w:highlight w:val="none"/>
        </w:rPr>
      </w:pPr>
      <w:r/>
      <w:bookmarkStart w:id="193" w:name="_Toc516367020"/>
      <w:r/>
      <w:bookmarkStart w:id="194" w:name="_Toc226965799"/>
      <w:r/>
      <w:bookmarkStart w:id="195" w:name="_Toc150480764"/>
      <w:r/>
      <w:bookmarkStart w:id="196" w:name="_Toc226337222"/>
      <w:r/>
      <w:bookmarkStart w:id="197" w:name="_Toc150509277"/>
      <w:r/>
      <w:bookmarkStart w:id="198" w:name="_Toc151193624"/>
      <w:r/>
      <w:bookmarkStart w:id="199" w:name="_Toc151193840"/>
      <w:r/>
      <w:bookmarkStart w:id="200" w:name="_Toc151190153"/>
      <w:r/>
      <w:bookmarkStart w:id="201" w:name="_Toc226965716"/>
      <w:r/>
      <w:bookmarkStart w:id="202" w:name="_Toc305158794"/>
      <w:r/>
      <w:bookmarkStart w:id="203" w:name="_Toc265228364"/>
      <w:r/>
      <w:bookmarkStart w:id="204" w:name="_Toc127151526"/>
      <w:r/>
      <w:bookmarkStart w:id="205" w:name="_Toc142311028"/>
      <w:r/>
      <w:bookmarkStart w:id="206" w:name="_Toc305158868"/>
      <w:r/>
      <w:bookmarkStart w:id="207" w:name="_Toc195842891"/>
      <w:r/>
      <w:bookmarkStart w:id="208" w:name="_Toc226309770"/>
      <w:r/>
      <w:bookmarkStart w:id="209" w:name="_Toc150774626"/>
      <w:r/>
      <w:bookmarkStart w:id="210" w:name="_Toc151193768"/>
      <w:r/>
      <w:bookmarkStart w:id="211" w:name="_Toc151193914"/>
      <w:r/>
      <w:bookmarkStart w:id="212" w:name="_Toc150774731"/>
      <w:r/>
      <w:bookmarkStart w:id="213" w:name="_Toc520356150"/>
      <w:r/>
      <w:bookmarkStart w:id="214" w:name="_Toc264969216"/>
      <w:r/>
      <w:bookmarkStart w:id="215" w:name="_Toc151193696"/>
      <w:r>
        <w:rPr>
          <w:rFonts w:hint="eastAsia" w:ascii="仿宋" w:hAnsi="仿宋" w:eastAsia="仿宋" w:cs="仿宋"/>
          <w:sz w:val="21"/>
          <w:szCs w:val="21"/>
          <w:highlight w:val="none"/>
        </w:rPr>
        <w:t xml:space="preserve">三   投标文件</w:t>
      </w:r>
      <w:bookmarkEnd w:id="193"/>
      <w:r>
        <w:rPr>
          <w:rFonts w:hint="eastAsia" w:ascii="仿宋" w:hAnsi="仿宋" w:eastAsia="仿宋" w:cs="仿宋"/>
          <w:sz w:val="21"/>
          <w:szCs w:val="21"/>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pStyle w:val="1278"/>
        <w:ind w:firstLine="420"/>
        <w:spacing w:line="360" w:lineRule="auto"/>
        <w:rPr>
          <w:rFonts w:hint="eastAsia" w:ascii="仿宋" w:hAnsi="仿宋" w:eastAsia="仿宋" w:cs="仿宋"/>
          <w:sz w:val="21"/>
          <w:szCs w:val="21"/>
          <w:highlight w:val="none"/>
        </w:rPr>
      </w:pPr>
      <w:r/>
      <w:bookmarkStart w:id="216" w:name="_Toc127151728"/>
      <w:r/>
      <w:bookmarkStart w:id="217" w:name="_Toc142311029"/>
      <w:r/>
      <w:bookmarkStart w:id="218" w:name="_Toc164229368"/>
      <w:r/>
      <w:bookmarkStart w:id="219" w:name="_Toc150480765"/>
      <w:r/>
      <w:bookmarkStart w:id="220" w:name="_Toc151193915"/>
      <w:r/>
      <w:bookmarkStart w:id="221" w:name="_Toc151193625"/>
      <w:r/>
      <w:bookmarkStart w:id="222" w:name="_Toc151190154"/>
      <w:r/>
      <w:bookmarkStart w:id="223" w:name="_Toc150774732"/>
      <w:r/>
      <w:bookmarkStart w:id="224" w:name="_Toc150774627"/>
      <w:r/>
      <w:bookmarkStart w:id="225" w:name="_Toc305158869"/>
      <w:r/>
      <w:bookmarkStart w:id="226" w:name="_Toc516367021"/>
      <w:r/>
      <w:bookmarkStart w:id="227" w:name="_Toc264969217"/>
      <w:r/>
      <w:bookmarkStart w:id="228" w:name="_Toc520356151"/>
      <w:r/>
      <w:bookmarkStart w:id="229" w:name="_Toc226965800"/>
      <w:r/>
      <w:bookmarkStart w:id="230" w:name="_Toc127151527"/>
      <w:r/>
      <w:bookmarkStart w:id="231" w:name="_Toc127161441"/>
      <w:r/>
      <w:bookmarkStart w:id="232" w:name="_Toc226337223"/>
      <w:r/>
      <w:bookmarkStart w:id="233" w:name="_Toc149720820"/>
      <w:r/>
      <w:bookmarkStart w:id="234" w:name="_Toc151193769"/>
      <w:r/>
      <w:bookmarkStart w:id="235" w:name="_Toc151193697"/>
      <w:r/>
      <w:bookmarkStart w:id="236" w:name="_Toc164351621"/>
      <w:r/>
      <w:bookmarkStart w:id="237" w:name="_Toc164229222"/>
      <w:r/>
      <w:bookmarkStart w:id="238" w:name="_Toc164608641"/>
      <w:r/>
      <w:bookmarkStart w:id="239" w:name="_Toc151193841"/>
      <w:r/>
      <w:bookmarkStart w:id="240" w:name="_Toc164608796"/>
      <w:r/>
      <w:bookmarkStart w:id="241" w:name="_Toc195842892"/>
      <w:r/>
      <w:bookmarkStart w:id="242" w:name="_Toc226965717"/>
      <w:r/>
      <w:bookmarkStart w:id="243" w:name="_Toc265228365"/>
      <w:r/>
      <w:bookmarkStart w:id="244" w:name="_Toc150509278"/>
      <w:r/>
      <w:bookmarkStart w:id="245" w:name="_Toc305158795"/>
      <w:r/>
      <w:bookmarkStart w:id="246" w:name="_Toc226309771"/>
      <w:r>
        <w:rPr>
          <w:rFonts w:hint="eastAsia" w:ascii="仿宋" w:hAnsi="仿宋" w:eastAsia="仿宋" w:cs="仿宋"/>
          <w:sz w:val="21"/>
          <w:szCs w:val="21"/>
          <w:highlight w:val="none"/>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仿宋" w:hAnsi="仿宋" w:eastAsia="仿宋" w:cs="仿宋"/>
          <w:sz w:val="21"/>
          <w:szCs w:val="21"/>
          <w:highlight w:val="none"/>
        </w:rPr>
        <w:t xml:space="preserve">及投标语言</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无效投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9.2除招标文件有特殊要求外，本项目投标所使用的计量单位，应采用中华人民共和国法定计量单位。</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9.3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pStyle w:val="1278"/>
        <w:ind w:firstLine="420"/>
        <w:spacing w:line="360" w:lineRule="auto"/>
        <w:rPr>
          <w:rFonts w:hint="eastAsia" w:ascii="仿宋" w:hAnsi="仿宋" w:eastAsia="仿宋" w:cs="仿宋"/>
          <w:sz w:val="21"/>
          <w:szCs w:val="21"/>
          <w:highlight w:val="none"/>
        </w:rPr>
      </w:pPr>
      <w:r/>
      <w:bookmarkStart w:id="247" w:name="_Ref467306195"/>
      <w:r/>
      <w:bookmarkStart w:id="248" w:name="_Toc516367022"/>
      <w:r/>
      <w:bookmarkStart w:id="249" w:name="_Ref467306676"/>
      <w:r/>
      <w:bookmarkStart w:id="250" w:name="_Toc151193770"/>
      <w:r/>
      <w:bookmarkStart w:id="251" w:name="_Toc151193842"/>
      <w:r/>
      <w:bookmarkStart w:id="252" w:name="_Toc226337224"/>
      <w:r/>
      <w:bookmarkStart w:id="253" w:name="_Toc164608797"/>
      <w:r/>
      <w:bookmarkStart w:id="254" w:name="_Toc265228366"/>
      <w:r/>
      <w:bookmarkStart w:id="255" w:name="_Toc226309772"/>
      <w:r/>
      <w:bookmarkStart w:id="256" w:name="_Toc164229369"/>
      <w:r/>
      <w:bookmarkStart w:id="257" w:name="_Toc264969218"/>
      <w:r/>
      <w:bookmarkStart w:id="258" w:name="_Toc127151528"/>
      <w:r/>
      <w:bookmarkStart w:id="259" w:name="_Toc150774733"/>
      <w:r/>
      <w:bookmarkStart w:id="260" w:name="_Toc164608642"/>
      <w:r/>
      <w:bookmarkStart w:id="261" w:name="_Toc149720821"/>
      <w:r/>
      <w:bookmarkStart w:id="262" w:name="_Toc127151729"/>
      <w:r/>
      <w:bookmarkStart w:id="263" w:name="_Toc164351622"/>
      <w:r/>
      <w:bookmarkStart w:id="264" w:name="_Toc151190155"/>
      <w:r/>
      <w:bookmarkStart w:id="265" w:name="_Toc226965718"/>
      <w:r/>
      <w:bookmarkStart w:id="266" w:name="_Toc150774628"/>
      <w:r/>
      <w:bookmarkStart w:id="267" w:name="_Toc150480766"/>
      <w:r/>
      <w:bookmarkStart w:id="268" w:name="_Toc151193698"/>
      <w:r/>
      <w:bookmarkStart w:id="269" w:name="_Toc520356152"/>
      <w:r/>
      <w:bookmarkStart w:id="270" w:name="_Toc305158870"/>
      <w:r/>
      <w:bookmarkStart w:id="271" w:name="_Toc127161442"/>
      <w:r/>
      <w:bookmarkStart w:id="272" w:name="_Toc142311030"/>
      <w:r/>
      <w:bookmarkStart w:id="273" w:name="_Toc226965801"/>
      <w:r/>
      <w:bookmarkStart w:id="274" w:name="_Toc195842893"/>
      <w:r/>
      <w:bookmarkStart w:id="275" w:name="_Toc151193626"/>
      <w:r/>
      <w:bookmarkStart w:id="276" w:name="_Toc150509279"/>
      <w:r/>
      <w:bookmarkStart w:id="277" w:name="_Toc305158796"/>
      <w:r/>
      <w:bookmarkStart w:id="278" w:name="_Toc151193916"/>
      <w:r/>
      <w:bookmarkStart w:id="279" w:name="_Toc164229223"/>
      <w:r>
        <w:rPr>
          <w:rFonts w:hint="eastAsia" w:ascii="仿宋" w:hAnsi="仿宋" w:eastAsia="仿宋" w:cs="仿宋"/>
          <w:sz w:val="21"/>
          <w:szCs w:val="21"/>
          <w:highlight w:val="none"/>
        </w:rPr>
        <w:t xml:space="preserve">10.投标文件</w:t>
      </w:r>
      <w:bookmarkEnd w:id="247"/>
      <w:r/>
      <w:bookmarkEnd w:id="248"/>
      <w:r/>
      <w:bookmarkEnd w:id="249"/>
      <w:r>
        <w:rPr>
          <w:rFonts w:hint="eastAsia" w:ascii="仿宋" w:hAnsi="仿宋" w:eastAsia="仿宋" w:cs="仿宋"/>
          <w:sz w:val="21"/>
          <w:szCs w:val="21"/>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pStyle w:val="1278"/>
        <w:ind w:firstLine="420"/>
        <w:spacing w:line="360" w:lineRule="auto"/>
        <w:rPr>
          <w:rFonts w:hint="eastAsia" w:ascii="仿宋" w:hAnsi="仿宋" w:eastAsia="仿宋" w:cs="仿宋"/>
          <w:sz w:val="21"/>
          <w:szCs w:val="21"/>
          <w:highlight w:val="none"/>
        </w:rPr>
      </w:pPr>
      <w:r/>
      <w:bookmarkStart w:id="280" w:name="_Ref467052588"/>
      <w:r>
        <w:rPr>
          <w:rFonts w:hint="eastAsia" w:ascii="仿宋" w:hAnsi="仿宋" w:eastAsia="仿宋" w:cs="仿宋"/>
          <w:sz w:val="21"/>
          <w:szCs w:val="21"/>
          <w:highlight w:val="none"/>
        </w:rPr>
        <w:t xml:space="preserve">10.1供应商应当按照招标文件的要求编制投标文件。投标文件应由《资格证明文件》、《商务技术文件》两部分构成。投标文件的部分格式要求，见第七章《投标文件格式》。</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10.2对于招标文件中标记了“实质性格式”文件的，供应商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供应商自行编写。</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10.3第四章《评标程序、评标方法和评标标准》中涉及的证明文件。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10.4对照第五章《采购需求》，说明所提供货物和服务已对第五章《采购需求》做出了响应，或申明与第五章《采购需求》的偏差和例外。如第五章《采购需求》中要求提供证明文件的，供应商应当按具体要求提供证明文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10.5供应商认为应附的其他材料。</w:t>
      </w:r>
      <w:bookmarkEnd w:id="280"/>
      <w:r/>
      <w:r/>
    </w:p>
    <w:p>
      <w:pPr>
        <w:pStyle w:val="1278"/>
        <w:ind w:firstLine="420"/>
        <w:spacing w:line="360" w:lineRule="auto"/>
        <w:rPr>
          <w:rFonts w:hint="eastAsia" w:ascii="仿宋" w:hAnsi="仿宋" w:eastAsia="仿宋" w:cs="仿宋"/>
          <w:sz w:val="21"/>
          <w:szCs w:val="21"/>
          <w:highlight w:val="none"/>
        </w:rPr>
      </w:pPr>
      <w:r/>
      <w:bookmarkStart w:id="281" w:name="_Toc151193918"/>
      <w:r/>
      <w:bookmarkStart w:id="282" w:name="_Toc150509281"/>
      <w:r/>
      <w:bookmarkStart w:id="283" w:name="_Toc142311032"/>
      <w:r/>
      <w:bookmarkStart w:id="284" w:name="_Toc195842895"/>
      <w:r/>
      <w:bookmarkStart w:id="285" w:name="_Toc127151731"/>
      <w:r/>
      <w:bookmarkStart w:id="286" w:name="_Toc164608644"/>
      <w:r/>
      <w:bookmarkStart w:id="287" w:name="_Toc150774735"/>
      <w:r/>
      <w:bookmarkStart w:id="288" w:name="_Toc127161444"/>
      <w:r/>
      <w:bookmarkStart w:id="289" w:name="_Toc164351624"/>
      <w:r/>
      <w:bookmarkStart w:id="290" w:name="_Toc149720823"/>
      <w:r/>
      <w:bookmarkStart w:id="291" w:name="_Toc164229225"/>
      <w:r/>
      <w:bookmarkStart w:id="292" w:name="_Toc151193844"/>
      <w:r/>
      <w:bookmarkStart w:id="293" w:name="_Toc151193700"/>
      <w:r/>
      <w:bookmarkStart w:id="294" w:name="_Toc150774630"/>
      <w:r/>
      <w:bookmarkStart w:id="295" w:name="_Toc127151530"/>
      <w:r/>
      <w:bookmarkStart w:id="296" w:name="_Toc164229371"/>
      <w:r/>
      <w:bookmarkStart w:id="297" w:name="_Toc150480768"/>
      <w:r/>
      <w:bookmarkStart w:id="298" w:name="_Toc151190157"/>
      <w:r/>
      <w:bookmarkStart w:id="299" w:name="_Toc164608799"/>
      <w:r/>
      <w:bookmarkStart w:id="300" w:name="_Toc151193772"/>
      <w:r/>
      <w:bookmarkStart w:id="301" w:name="_Toc520356155"/>
      <w:r/>
      <w:bookmarkStart w:id="302" w:name="_Toc151193628"/>
      <w:r>
        <w:rPr>
          <w:rFonts w:hint="eastAsia" w:ascii="仿宋" w:hAnsi="仿宋" w:eastAsia="仿宋" w:cs="仿宋"/>
          <w:sz w:val="21"/>
          <w:szCs w:val="21"/>
          <w:highlight w:val="none"/>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11.1所有投标均以人民币报价。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11.2供应商的报价应包括为完成本项目所发生的一切费用和税费，采购人将不再支付报价以外的任何费用。供应商的报价应包括但不限于下列内容，《供应商须知资料表》中有特殊规定的，从其规定。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11.2.2按照招标文件要求完成本项目的全部相关服务费用。 </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11.3采购人不得向供应商索要或者接受其给予的赠品、回扣或者与采购无关的其他商品、服务。</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11.4供应商不能提供任何有选择性或可调整的报价，否则其投标无效。</w:t>
      </w:r>
      <w:r/>
    </w:p>
    <w:p>
      <w:pPr>
        <w:pStyle w:val="1278"/>
        <w:ind w:firstLine="420"/>
        <w:spacing w:line="360" w:lineRule="auto"/>
        <w:rPr>
          <w:rFonts w:hint="eastAsia" w:ascii="仿宋" w:hAnsi="仿宋" w:eastAsia="仿宋" w:cs="仿宋"/>
          <w:sz w:val="21"/>
          <w:szCs w:val="21"/>
          <w:highlight w:val="none"/>
        </w:rPr>
      </w:pPr>
      <w:r/>
      <w:bookmarkStart w:id="303" w:name="_Toc164608645"/>
      <w:r/>
      <w:bookmarkStart w:id="304" w:name="_Toc150774631"/>
      <w:r/>
      <w:bookmarkStart w:id="305" w:name="_Ref467306513"/>
      <w:r/>
      <w:bookmarkStart w:id="306" w:name="_Toc305158799"/>
      <w:r/>
      <w:bookmarkStart w:id="307" w:name="_Toc149720824"/>
      <w:r/>
      <w:bookmarkStart w:id="308" w:name="_Toc305158873"/>
      <w:r/>
      <w:bookmarkStart w:id="309" w:name="_Toc226965721"/>
      <w:r/>
      <w:bookmarkStart w:id="310" w:name="_Toc164608800"/>
      <w:r/>
      <w:bookmarkStart w:id="311" w:name="_Toc127151531"/>
      <w:r/>
      <w:bookmarkStart w:id="312" w:name="_Toc264969221"/>
      <w:r/>
      <w:bookmarkStart w:id="313" w:name="_Toc226309775"/>
      <w:r/>
      <w:bookmarkStart w:id="314" w:name="_Toc265228369"/>
      <w:r/>
      <w:bookmarkStart w:id="315" w:name="_Toc127151732"/>
      <w:r/>
      <w:bookmarkStart w:id="316" w:name="_Toc150774736"/>
      <w:r/>
      <w:bookmarkStart w:id="317" w:name="_Toc142311033"/>
      <w:r/>
      <w:bookmarkStart w:id="318" w:name="_Toc164229226"/>
      <w:r/>
      <w:bookmarkStart w:id="319" w:name="_Toc127161445"/>
      <w:r/>
      <w:bookmarkStart w:id="320" w:name="_Toc151193845"/>
      <w:r/>
      <w:bookmarkStart w:id="321" w:name="_Toc151193629"/>
      <w:r/>
      <w:bookmarkStart w:id="322" w:name="_Toc226337227"/>
      <w:r/>
      <w:bookmarkStart w:id="323" w:name="_Toc151193701"/>
      <w:r/>
      <w:bookmarkStart w:id="324" w:name="_Toc164229372"/>
      <w:r/>
      <w:bookmarkStart w:id="325" w:name="_Toc226965804"/>
      <w:r/>
      <w:bookmarkStart w:id="326" w:name="_Toc150509282"/>
      <w:r/>
      <w:bookmarkStart w:id="327" w:name="_Toc164351625"/>
      <w:r/>
      <w:bookmarkStart w:id="328" w:name="_Toc150480769"/>
      <w:r/>
      <w:bookmarkStart w:id="329" w:name="_Toc151190158"/>
      <w:r/>
      <w:bookmarkStart w:id="330" w:name="_Toc151193773"/>
      <w:r/>
      <w:bookmarkStart w:id="331" w:name="_Toc195842896"/>
      <w:r/>
      <w:bookmarkStart w:id="332" w:name="_Toc520356156"/>
      <w:r/>
      <w:bookmarkStart w:id="333" w:name="_Toc151193919"/>
      <w:r>
        <w:rPr>
          <w:rFonts w:hint="eastAsia" w:ascii="仿宋" w:hAnsi="仿宋" w:eastAsia="仿宋" w:cs="仿宋"/>
          <w:sz w:val="21"/>
          <w:szCs w:val="21"/>
          <w:highlight w:val="none"/>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12.1根据江苏省和常州市的相关文件规定，免收投标保证金。</w:t>
      </w:r>
      <w:r/>
    </w:p>
    <w:p>
      <w:pPr>
        <w:pStyle w:val="1278"/>
        <w:ind w:firstLine="420"/>
        <w:spacing w:line="360" w:lineRule="auto"/>
        <w:rPr>
          <w:rFonts w:hint="eastAsia" w:ascii="仿宋" w:hAnsi="仿宋" w:eastAsia="仿宋" w:cs="仿宋"/>
          <w:sz w:val="21"/>
          <w:szCs w:val="21"/>
          <w:highlight w:val="none"/>
        </w:rPr>
      </w:pPr>
      <w:r/>
      <w:bookmarkStart w:id="334" w:name="_Toc149720825"/>
      <w:r/>
      <w:bookmarkStart w:id="335" w:name="_Toc226965805"/>
      <w:r/>
      <w:bookmarkStart w:id="336" w:name="_Toc151193920"/>
      <w:r/>
      <w:bookmarkStart w:id="337" w:name="_Toc164229227"/>
      <w:r/>
      <w:bookmarkStart w:id="338" w:name="_Toc151193774"/>
      <w:r/>
      <w:bookmarkStart w:id="339" w:name="_Toc127151733"/>
      <w:r/>
      <w:bookmarkStart w:id="340" w:name="_Toc520356157"/>
      <w:r/>
      <w:bookmarkStart w:id="341" w:name="_Toc150480770"/>
      <w:r/>
      <w:bookmarkStart w:id="342" w:name="_Toc151193846"/>
      <w:r/>
      <w:bookmarkStart w:id="343" w:name="_Toc305158800"/>
      <w:r/>
      <w:bookmarkStart w:id="344" w:name="_Toc226337228"/>
      <w:r/>
      <w:bookmarkStart w:id="345" w:name="_Toc164608801"/>
      <w:r/>
      <w:bookmarkStart w:id="346" w:name="_Toc265228370"/>
      <w:r/>
      <w:bookmarkStart w:id="347" w:name="_Toc226309776"/>
      <w:r/>
      <w:bookmarkStart w:id="348" w:name="_Toc195842897"/>
      <w:r/>
      <w:bookmarkStart w:id="349" w:name="_Toc150774737"/>
      <w:r/>
      <w:bookmarkStart w:id="350" w:name="_Toc151193630"/>
      <w:r/>
      <w:bookmarkStart w:id="351" w:name="_Toc164608646"/>
      <w:r/>
      <w:bookmarkStart w:id="352" w:name="_Toc150509283"/>
      <w:r/>
      <w:bookmarkStart w:id="353" w:name="_Toc127151532"/>
      <w:r/>
      <w:bookmarkStart w:id="354" w:name="_Toc164229373"/>
      <w:r/>
      <w:bookmarkStart w:id="355" w:name="_Toc226965722"/>
      <w:r/>
      <w:bookmarkStart w:id="356" w:name="_Toc150774632"/>
      <w:r/>
      <w:bookmarkStart w:id="357" w:name="_Toc127161446"/>
      <w:r/>
      <w:bookmarkStart w:id="358" w:name="_Toc142311034"/>
      <w:r/>
      <w:bookmarkStart w:id="359" w:name="_Toc264969222"/>
      <w:r/>
      <w:bookmarkStart w:id="360" w:name="_Toc151193702"/>
      <w:r/>
      <w:bookmarkStart w:id="361" w:name="_Toc151190159"/>
      <w:r/>
      <w:bookmarkStart w:id="362" w:name="_Toc305158874"/>
      <w:r/>
      <w:bookmarkStart w:id="363" w:name="_Toc164351626"/>
      <w:r>
        <w:rPr>
          <w:rFonts w:hint="eastAsia" w:ascii="仿宋" w:hAnsi="仿宋" w:eastAsia="仿宋" w:cs="仿宋"/>
          <w:sz w:val="21"/>
          <w:szCs w:val="21"/>
          <w:highlight w:val="none"/>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13.1投标文件应在本招标文件《供应商须知资料表》中规定的投标有效期内保持有效，投标有效期少于招标文件规定期限的，其投标无效。</w:t>
      </w:r>
      <w:r/>
    </w:p>
    <w:p>
      <w:pPr>
        <w:pStyle w:val="1278"/>
        <w:ind w:firstLine="420"/>
        <w:spacing w:line="360" w:lineRule="auto"/>
        <w:rPr>
          <w:rFonts w:hint="eastAsia" w:ascii="仿宋" w:hAnsi="仿宋" w:eastAsia="仿宋" w:cs="仿宋"/>
          <w:sz w:val="21"/>
          <w:szCs w:val="21"/>
          <w:highlight w:val="none"/>
        </w:rPr>
      </w:pPr>
      <w:r/>
      <w:bookmarkStart w:id="364" w:name="_Toc164229374"/>
      <w:r/>
      <w:bookmarkStart w:id="365" w:name="_Toc142311035"/>
      <w:r/>
      <w:bookmarkStart w:id="366" w:name="_Toc164608647"/>
      <w:r/>
      <w:bookmarkStart w:id="367" w:name="_Toc195842898"/>
      <w:r/>
      <w:bookmarkStart w:id="368" w:name="_Toc164229228"/>
      <w:r/>
      <w:bookmarkStart w:id="369" w:name="_Toc226965723"/>
      <w:r/>
      <w:bookmarkStart w:id="370" w:name="_Toc151190160"/>
      <w:r/>
      <w:bookmarkStart w:id="371" w:name="_Toc520356158"/>
      <w:r/>
      <w:bookmarkStart w:id="372" w:name="_Toc265228371"/>
      <w:r/>
      <w:bookmarkStart w:id="373" w:name="_Toc164608802"/>
      <w:r/>
      <w:bookmarkStart w:id="374" w:name="_Toc151193847"/>
      <w:r/>
      <w:bookmarkStart w:id="375" w:name="_Toc305158875"/>
      <w:r/>
      <w:bookmarkStart w:id="376" w:name="_Toc149720826"/>
      <w:r/>
      <w:bookmarkStart w:id="377" w:name="_Toc150774633"/>
      <w:r/>
      <w:bookmarkStart w:id="378" w:name="_Toc226965806"/>
      <w:r/>
      <w:bookmarkStart w:id="379" w:name="_Toc305158801"/>
      <w:r/>
      <w:bookmarkStart w:id="380" w:name="_Toc151193775"/>
      <w:r/>
      <w:bookmarkStart w:id="381" w:name="_Toc226337229"/>
      <w:r/>
      <w:bookmarkStart w:id="382" w:name="_Toc264969223"/>
      <w:r/>
      <w:bookmarkStart w:id="383" w:name="_Toc164351627"/>
      <w:r/>
      <w:bookmarkStart w:id="384" w:name="_Toc127161447"/>
      <w:r/>
      <w:bookmarkStart w:id="385" w:name="_Toc151193703"/>
      <w:r/>
      <w:bookmarkStart w:id="386" w:name="_Toc150774738"/>
      <w:r/>
      <w:bookmarkStart w:id="387" w:name="_Toc226309777"/>
      <w:r/>
      <w:bookmarkStart w:id="388" w:name="_Toc151193631"/>
      <w:r/>
      <w:bookmarkStart w:id="389" w:name="_Toc127151734"/>
      <w:r/>
      <w:bookmarkStart w:id="390" w:name="_Toc150480771"/>
      <w:r/>
      <w:bookmarkStart w:id="391" w:name="_Toc150509284"/>
      <w:r/>
      <w:bookmarkStart w:id="392" w:name="_Toc127151533"/>
      <w:r/>
      <w:bookmarkStart w:id="393" w:name="_Toc151193921"/>
      <w:r>
        <w:rPr>
          <w:rFonts w:hint="eastAsia" w:ascii="仿宋" w:hAnsi="仿宋" w:eastAsia="仿宋" w:cs="仿宋"/>
          <w:sz w:val="21"/>
          <w:szCs w:val="21"/>
          <w:highlight w:val="none"/>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仿宋" w:hAnsi="仿宋" w:eastAsia="仿宋" w:cs="仿宋"/>
          <w:sz w:val="21"/>
          <w:szCs w:val="21"/>
          <w:highlight w:val="none"/>
        </w:rPr>
        <w:t xml:space="preserve">、加盖公章</w:t>
      </w:r>
      <w:r/>
    </w:p>
    <w:p>
      <w:pPr>
        <w:pStyle w:val="1278"/>
        <w:ind w:firstLine="420"/>
        <w:spacing w:line="360" w:lineRule="auto"/>
        <w:rPr>
          <w:rFonts w:hint="eastAsia" w:ascii="仿宋" w:hAnsi="仿宋" w:eastAsia="仿宋" w:cs="仿宋"/>
          <w:sz w:val="21"/>
          <w:szCs w:val="21"/>
          <w:highlight w:val="none"/>
        </w:rPr>
      </w:pPr>
      <w:r/>
      <w:bookmarkStart w:id="394" w:name="_Toc127151534"/>
      <w:r/>
      <w:bookmarkStart w:id="395" w:name="_Toc226965724"/>
      <w:r/>
      <w:bookmarkStart w:id="396" w:name="_Toc142311036"/>
      <w:r/>
      <w:bookmarkStart w:id="397" w:name="_Toc151193776"/>
      <w:r/>
      <w:bookmarkStart w:id="398" w:name="_Toc151193632"/>
      <w:r/>
      <w:bookmarkStart w:id="399" w:name="_Toc520356159"/>
      <w:r/>
      <w:bookmarkStart w:id="400" w:name="_Toc195842899"/>
      <w:r/>
      <w:bookmarkStart w:id="401" w:name="_Toc226309778"/>
      <w:r/>
      <w:bookmarkStart w:id="402" w:name="_Toc305158876"/>
      <w:r/>
      <w:bookmarkStart w:id="403" w:name="_Toc150774634"/>
      <w:r/>
      <w:bookmarkStart w:id="404" w:name="_Toc226337230"/>
      <w:r/>
      <w:bookmarkStart w:id="405" w:name="_Toc151193704"/>
      <w:r/>
      <w:bookmarkStart w:id="406" w:name="_Toc150774739"/>
      <w:r/>
      <w:bookmarkStart w:id="407" w:name="_Toc151193848"/>
      <w:r/>
      <w:bookmarkStart w:id="408" w:name="_Toc265228372"/>
      <w:r/>
      <w:bookmarkStart w:id="409" w:name="_Toc305158802"/>
      <w:r/>
      <w:bookmarkStart w:id="410" w:name="_Toc150509285"/>
      <w:r/>
      <w:bookmarkStart w:id="411" w:name="_Toc151193922"/>
      <w:r/>
      <w:bookmarkStart w:id="412" w:name="_Toc226965807"/>
      <w:r/>
      <w:bookmarkStart w:id="413" w:name="_Toc150480772"/>
      <w:r/>
      <w:bookmarkStart w:id="414" w:name="_Toc151190161"/>
      <w:r/>
      <w:bookmarkStart w:id="415" w:name="_Toc264969224"/>
      <w:r>
        <w:rPr>
          <w:rFonts w:hint="eastAsia" w:ascii="仿宋" w:hAnsi="仿宋" w:eastAsia="仿宋" w:cs="仿宋"/>
          <w:sz w:val="21"/>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招标文件要求加盖公章的内容，一般通过投标文件编制工具加盖电子签章。</w:t>
      </w:r>
      <w:r/>
    </w:p>
    <w:p>
      <w:pPr>
        <w:pStyle w:val="1186"/>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pStyle w:val="1278"/>
        <w:ind w:firstLine="420"/>
        <w:spacing w:line="360" w:lineRule="auto"/>
        <w:rPr>
          <w:rFonts w:hint="eastAsia" w:ascii="仿宋" w:hAnsi="仿宋" w:eastAsia="仿宋" w:cs="仿宋"/>
          <w:sz w:val="21"/>
          <w:szCs w:val="21"/>
          <w:highlight w:val="none"/>
        </w:rPr>
      </w:pPr>
      <w:r/>
      <w:bookmarkStart w:id="416" w:name="_Toc151193924"/>
      <w:r/>
      <w:bookmarkStart w:id="417" w:name="_Toc151193706"/>
      <w:r/>
      <w:bookmarkStart w:id="418" w:name="_Toc127151737"/>
      <w:r/>
      <w:bookmarkStart w:id="419" w:name="_Toc265228374"/>
      <w:r/>
      <w:bookmarkStart w:id="420" w:name="_Toc520356161"/>
      <w:r/>
      <w:bookmarkStart w:id="421" w:name="_Toc151193850"/>
      <w:r/>
      <w:bookmarkStart w:id="422" w:name="_Toc226309780"/>
      <w:r/>
      <w:bookmarkStart w:id="423" w:name="_Toc150509287"/>
      <w:r/>
      <w:bookmarkStart w:id="424" w:name="_Toc164608805"/>
      <w:r/>
      <w:bookmarkStart w:id="425" w:name="_Toc151190163"/>
      <w:r/>
      <w:bookmarkStart w:id="426" w:name="_Toc305158878"/>
      <w:r/>
      <w:bookmarkStart w:id="427" w:name="_Toc164608650"/>
      <w:r/>
      <w:bookmarkStart w:id="428" w:name="_Toc305158804"/>
      <w:r/>
      <w:bookmarkStart w:id="429" w:name="_Toc150774741"/>
      <w:r/>
      <w:bookmarkStart w:id="430" w:name="_Toc149720829"/>
      <w:r/>
      <w:bookmarkStart w:id="431" w:name="_Toc164229377"/>
      <w:r/>
      <w:bookmarkStart w:id="432" w:name="_Toc264969226"/>
      <w:r/>
      <w:bookmarkStart w:id="433" w:name="_Toc226965726"/>
      <w:r/>
      <w:bookmarkStart w:id="434" w:name="_Toc150480774"/>
      <w:r/>
      <w:bookmarkStart w:id="435" w:name="_Toc150774636"/>
      <w:r/>
      <w:bookmarkStart w:id="436" w:name="_Toc127151536"/>
      <w:r/>
      <w:bookmarkStart w:id="437" w:name="_Toc151193634"/>
      <w:r/>
      <w:bookmarkStart w:id="438" w:name="_Toc226965809"/>
      <w:r/>
      <w:bookmarkStart w:id="439" w:name="_Toc142311038"/>
      <w:r/>
      <w:bookmarkStart w:id="440" w:name="_Toc226337232"/>
      <w:r/>
      <w:bookmarkStart w:id="441" w:name="_Toc151193778"/>
      <w:r/>
      <w:bookmarkStart w:id="442" w:name="_Toc195842901"/>
      <w:r/>
      <w:bookmarkStart w:id="443" w:name="_Toc164229231"/>
      <w:r/>
      <w:bookmarkStart w:id="444" w:name="_Toc164351630"/>
      <w:r/>
      <w:bookmarkStart w:id="445" w:name="_Toc127161450"/>
      <w:r/>
      <w:bookmarkStart w:id="446" w:name="_Toc151190165"/>
      <w:r/>
      <w:bookmarkStart w:id="447" w:name="_Toc264969228"/>
      <w:r/>
      <w:bookmarkStart w:id="448" w:name="_Toc127151538"/>
      <w:r/>
      <w:bookmarkStart w:id="449" w:name="_Toc265228376"/>
      <w:r/>
      <w:bookmarkStart w:id="450" w:name="_Toc226337234"/>
      <w:r/>
      <w:bookmarkStart w:id="451" w:name="_Toc150774638"/>
      <w:r/>
      <w:bookmarkStart w:id="452" w:name="_Toc226965728"/>
      <w:r/>
      <w:bookmarkStart w:id="453" w:name="_Toc305158880"/>
      <w:r/>
      <w:bookmarkStart w:id="454" w:name="_Toc305158806"/>
      <w:r/>
      <w:bookmarkStart w:id="455" w:name="_Toc142311040"/>
      <w:r/>
      <w:bookmarkStart w:id="456" w:name="_Toc226965811"/>
      <w:r/>
      <w:bookmarkStart w:id="457" w:name="_Toc150480776"/>
      <w:r/>
      <w:bookmarkStart w:id="458" w:name="_Toc151193636"/>
      <w:r/>
      <w:bookmarkStart w:id="459" w:name="_Toc195842903"/>
      <w:r/>
      <w:bookmarkStart w:id="460" w:name="_Toc151193708"/>
      <w:r/>
      <w:bookmarkStart w:id="461" w:name="_Toc150774743"/>
      <w:r/>
      <w:bookmarkStart w:id="462" w:name="_Toc151193780"/>
      <w:r/>
      <w:bookmarkStart w:id="463" w:name="_Toc226309782"/>
      <w:r/>
      <w:bookmarkStart w:id="464" w:name="_Toc150509289"/>
      <w:r/>
      <w:bookmarkStart w:id="465" w:name="_Toc151193926"/>
      <w:r/>
      <w:bookmarkStart w:id="466" w:name="_Toc151193852"/>
      <w:r/>
      <w:bookmarkStart w:id="467" w:name="_Toc520356163"/>
      <w:r>
        <w:rPr>
          <w:rFonts w:hint="eastAsia" w:ascii="仿宋" w:hAnsi="仿宋" w:eastAsia="仿宋" w:cs="仿宋"/>
          <w:sz w:val="21"/>
          <w:szCs w:val="21"/>
          <w:highlight w:val="none"/>
        </w:rPr>
        <w:t xml:space="preserve">15.1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本项目使用“苏采云”政府采购一体化平台。供应商根据招标文件及“苏采云”政府采购一体化平台供应商操作手册要求编制、生成并提交电子投标文件。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采购人及采购代理机构拒绝接受通过“苏采云”政府采购一体化平台以外任何形式提交的投标文件。</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pStyle w:val="1278"/>
        <w:ind w:firstLine="420"/>
        <w:spacing w:line="360" w:lineRule="auto"/>
        <w:rPr>
          <w:rFonts w:hint="eastAsia" w:ascii="仿宋" w:hAnsi="仿宋" w:eastAsia="仿宋" w:cs="仿宋"/>
          <w:sz w:val="21"/>
          <w:szCs w:val="21"/>
          <w:highlight w:val="none"/>
        </w:rPr>
      </w:pPr>
      <w:r/>
      <w:bookmarkStart w:id="468" w:name="_Toc151190164"/>
      <w:r/>
      <w:bookmarkStart w:id="469" w:name="_Toc149720830"/>
      <w:r/>
      <w:bookmarkStart w:id="470" w:name="_Toc150774742"/>
      <w:r/>
      <w:bookmarkStart w:id="471" w:name="_Toc151193925"/>
      <w:r/>
      <w:bookmarkStart w:id="472" w:name="_Toc127151738"/>
      <w:r/>
      <w:bookmarkStart w:id="473" w:name="_Toc127161451"/>
      <w:r/>
      <w:bookmarkStart w:id="474" w:name="_Toc164608651"/>
      <w:r/>
      <w:bookmarkStart w:id="475" w:name="_Toc265228375"/>
      <w:r/>
      <w:bookmarkStart w:id="476" w:name="_Toc264969227"/>
      <w:r/>
      <w:bookmarkStart w:id="477" w:name="_Toc164351631"/>
      <w:r/>
      <w:bookmarkStart w:id="478" w:name="_Toc305158879"/>
      <w:r/>
      <w:bookmarkStart w:id="479" w:name="_Toc520356162"/>
      <w:r/>
      <w:bookmarkStart w:id="480" w:name="_Toc226337233"/>
      <w:r/>
      <w:bookmarkStart w:id="481" w:name="_Toc150480775"/>
      <w:r/>
      <w:bookmarkStart w:id="482" w:name="_Toc226309781"/>
      <w:r/>
      <w:bookmarkStart w:id="483" w:name="_Toc142311039"/>
      <w:r/>
      <w:bookmarkStart w:id="484" w:name="_Toc151193707"/>
      <w:r/>
      <w:bookmarkStart w:id="485" w:name="_Toc151193779"/>
      <w:r/>
      <w:bookmarkStart w:id="486" w:name="_Toc305158805"/>
      <w:r/>
      <w:bookmarkStart w:id="487" w:name="_Toc151193851"/>
      <w:r/>
      <w:bookmarkStart w:id="488" w:name="_Toc150509288"/>
      <w:r/>
      <w:bookmarkStart w:id="489" w:name="_Toc150774637"/>
      <w:r/>
      <w:bookmarkStart w:id="490" w:name="_Toc164229232"/>
      <w:r/>
      <w:bookmarkStart w:id="491" w:name="_Toc151193635"/>
      <w:r/>
      <w:bookmarkStart w:id="492" w:name="_Toc226965727"/>
      <w:r/>
      <w:bookmarkStart w:id="493" w:name="_Toc226965810"/>
      <w:r/>
      <w:bookmarkStart w:id="494" w:name="_Toc164608806"/>
      <w:r/>
      <w:bookmarkStart w:id="495" w:name="_Toc164229378"/>
      <w:r/>
      <w:bookmarkStart w:id="496" w:name="_Toc127151537"/>
      <w:r/>
      <w:bookmarkStart w:id="497" w:name="_Toc195842902"/>
      <w:r>
        <w:rPr>
          <w:rFonts w:hint="eastAsia" w:ascii="仿宋" w:hAnsi="仿宋" w:eastAsia="仿宋" w:cs="仿宋"/>
          <w:sz w:val="21"/>
          <w:szCs w:val="21"/>
          <w:highlight w:val="none"/>
        </w:rPr>
        <w:t xml:space="preserve">16.投标截止时间</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供应商应在招标文件要求提交投标文件截止时间前，将电子投标文件提交至“苏采云”政府采购一体化平台。</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17.投标文件的修改与撤回</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17.1投标截止时间前，供应商可以通过“苏采云”政府采购一体化平台对所提交的投标文件进行补充、修改或者撤回。</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供应商对投标文件的补充、修改的内容应当按照招标文件要求签署、加盖公章，作为投标文件的组成部分。</w:t>
      </w:r>
      <w:r/>
    </w:p>
    <w:p>
      <w:pPr>
        <w:pStyle w:val="1186"/>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   开标、资格审查及评标</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pStyle w:val="1278"/>
        <w:ind w:firstLine="420"/>
        <w:spacing w:line="360" w:lineRule="auto"/>
        <w:rPr>
          <w:rFonts w:hint="eastAsia" w:ascii="仿宋" w:hAnsi="仿宋" w:eastAsia="仿宋" w:cs="仿宋"/>
          <w:sz w:val="21"/>
          <w:szCs w:val="21"/>
          <w:highlight w:val="none"/>
        </w:rPr>
      </w:pPr>
      <w:r/>
      <w:bookmarkStart w:id="498" w:name="_Toc151193709"/>
      <w:r/>
      <w:bookmarkStart w:id="499" w:name="_Toc127151539"/>
      <w:r/>
      <w:bookmarkStart w:id="500" w:name="_Toc164608808"/>
      <w:r/>
      <w:bookmarkStart w:id="501" w:name="_Toc142311041"/>
      <w:r/>
      <w:bookmarkStart w:id="502" w:name="_Toc164351633"/>
      <w:r/>
      <w:bookmarkStart w:id="503" w:name="_Toc164229234"/>
      <w:r/>
      <w:bookmarkStart w:id="504" w:name="_Toc520356164"/>
      <w:r/>
      <w:bookmarkStart w:id="505" w:name="_Toc265228377"/>
      <w:r/>
      <w:bookmarkStart w:id="506" w:name="_Toc164608653"/>
      <w:r/>
      <w:bookmarkStart w:id="507" w:name="_Toc226965812"/>
      <w:r/>
      <w:bookmarkStart w:id="508" w:name="_Toc149720832"/>
      <w:r/>
      <w:bookmarkStart w:id="509" w:name="_Toc264969229"/>
      <w:r/>
      <w:bookmarkStart w:id="510" w:name="_Toc150480777"/>
      <w:r/>
      <w:bookmarkStart w:id="511" w:name="_Toc164229380"/>
      <w:r/>
      <w:bookmarkStart w:id="512" w:name="_Toc305158881"/>
      <w:r/>
      <w:bookmarkStart w:id="513" w:name="_Toc226309783"/>
      <w:r/>
      <w:bookmarkStart w:id="514" w:name="_Toc150509290"/>
      <w:r/>
      <w:bookmarkStart w:id="515" w:name="_Toc127151740"/>
      <w:r/>
      <w:bookmarkStart w:id="516" w:name="_Toc151193637"/>
      <w:r/>
      <w:bookmarkStart w:id="517" w:name="_Toc151190166"/>
      <w:r/>
      <w:bookmarkStart w:id="518" w:name="_Toc150774744"/>
      <w:r/>
      <w:bookmarkStart w:id="519" w:name="_Toc226337235"/>
      <w:r/>
      <w:bookmarkStart w:id="520" w:name="_Toc127161453"/>
      <w:r/>
      <w:bookmarkStart w:id="521" w:name="_Toc151193781"/>
      <w:r/>
      <w:bookmarkStart w:id="522" w:name="_Toc151193927"/>
      <w:r/>
      <w:bookmarkStart w:id="523" w:name="_Toc150774639"/>
      <w:r/>
      <w:bookmarkStart w:id="524" w:name="_Toc151193853"/>
      <w:r/>
      <w:bookmarkStart w:id="525" w:name="_Toc305158807"/>
      <w:r/>
      <w:bookmarkStart w:id="526" w:name="_Toc195842904"/>
      <w:r/>
      <w:bookmarkStart w:id="527" w:name="_Toc226965729"/>
      <w:r/>
      <w:bookmarkStart w:id="528" w:name="_Toc520356169"/>
      <w:r/>
      <w:bookmarkStart w:id="529" w:name="_Toc226965818"/>
      <w:r/>
      <w:bookmarkStart w:id="530" w:name="_Toc305158887"/>
      <w:r/>
      <w:bookmarkStart w:id="531" w:name="_Toc226309789"/>
      <w:r/>
      <w:bookmarkStart w:id="532" w:name="_Toc151190172"/>
      <w:r/>
      <w:bookmarkStart w:id="533" w:name="_Toc151193859"/>
      <w:r/>
      <w:bookmarkStart w:id="534" w:name="_Toc226337241"/>
      <w:r/>
      <w:bookmarkStart w:id="535" w:name="_Toc150774750"/>
      <w:r/>
      <w:bookmarkStart w:id="536" w:name="_Toc151193933"/>
      <w:r/>
      <w:bookmarkStart w:id="537" w:name="_Toc127151545"/>
      <w:r/>
      <w:bookmarkStart w:id="538" w:name="_Toc142311047"/>
      <w:r/>
      <w:bookmarkStart w:id="539" w:name="_Toc150774645"/>
      <w:r/>
      <w:bookmarkStart w:id="540" w:name="_Toc265228383"/>
      <w:r/>
      <w:bookmarkStart w:id="541" w:name="_Toc151193643"/>
      <w:r/>
      <w:bookmarkStart w:id="542" w:name="_Toc305158813"/>
      <w:r/>
      <w:bookmarkStart w:id="543" w:name="_Toc151193787"/>
      <w:r/>
      <w:bookmarkStart w:id="544" w:name="_Toc151193715"/>
      <w:r/>
      <w:bookmarkStart w:id="545" w:name="_Toc226965735"/>
      <w:r/>
      <w:bookmarkStart w:id="546" w:name="_Toc150509296"/>
      <w:r/>
      <w:bookmarkStart w:id="547" w:name="_Toc195842910"/>
      <w:r/>
      <w:bookmarkStart w:id="548" w:name="_Toc150480783"/>
      <w:r/>
      <w:bookmarkStart w:id="549" w:name="_Toc264969235"/>
      <w:r>
        <w:rPr>
          <w:rFonts w:hint="eastAsia" w:ascii="仿宋" w:hAnsi="仿宋" w:eastAsia="仿宋" w:cs="仿宋"/>
          <w:sz w:val="21"/>
          <w:szCs w:val="21"/>
          <w:highlight w:val="none"/>
        </w:rPr>
        <w:t xml:space="preserve">18.开标</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pStyle w:val="1278"/>
        <w:ind w:firstLine="420"/>
        <w:spacing w:line="360" w:lineRule="auto"/>
        <w:rPr>
          <w:rFonts w:hint="eastAsia" w:ascii="仿宋" w:hAnsi="仿宋" w:eastAsia="仿宋" w:cs="仿宋"/>
          <w:sz w:val="21"/>
          <w:szCs w:val="21"/>
          <w:highlight w:val="none"/>
        </w:rPr>
      </w:pPr>
      <w:r/>
      <w:bookmarkStart w:id="550" w:name="_Toc520356165"/>
      <w:r>
        <w:rPr>
          <w:rFonts w:hint="eastAsia" w:ascii="仿宋" w:hAnsi="仿宋" w:eastAsia="仿宋" w:cs="仿宋"/>
          <w:sz w:val="21"/>
          <w:szCs w:val="21"/>
          <w:highlight w:val="none"/>
        </w:rPr>
        <w:t xml:space="preserve">18.1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采购人或采购代理机构将按招标文件的规定，在投标截止时间的同一时间和招标文件预先确定的地点组织开标。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18.2</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本项目开标采用不见面招投标模式，使用“苏采云”政府采购一体化平台在线进行开标。供应商应在规定的时间内对投标文件进行解密，因非系统原因导致的解密失败，视为投标无效。</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18.3</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开标过程将使用“苏采云”政府采购一体化平台公布供应商名称、投标价格和招标文件规定的需要宣布的其他内容并进行记录，并由参加开标的各供应商代表在规定时间内确认。供应商超过规定时间未确认但是未提出疑义的，系统将视同已确认。</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18.4</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18.5</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供应商不足3家的，不予开标。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18.6</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供应商须在开标前使用“验证CA”功能验证本地计算机的控件环境是否正常，并且在开标评审过程中不可随意离开、更换计算机，必须使用验证成功的计算机进行操作，否则造成相应后果由供应商自行承担。本地计算机要求安装摄像头、麦克风和音箱，保持网络通畅。</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供应商承担。</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18.8</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1)平台系统发生故障而无法登录访问的；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2)平台系统应用或数据库出现错误，不能进行正常操作的；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3)平台系统发现严重安全漏洞，有潜在泄密危险的；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4)病毒发作导致平台系统不能进行正常操作的；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5)其他无法保证本次采购活动的公平、公正和安全的情况。</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19.资格审查</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19.1见第三章《资格审查》。</w:t>
      </w:r>
      <w:bookmarkEnd w:id="550"/>
      <w:r/>
      <w:r/>
    </w:p>
    <w:p>
      <w:pPr>
        <w:pStyle w:val="1278"/>
        <w:ind w:firstLine="420"/>
        <w:spacing w:line="360" w:lineRule="auto"/>
        <w:rPr>
          <w:rFonts w:hint="eastAsia" w:ascii="仿宋" w:hAnsi="仿宋" w:eastAsia="仿宋" w:cs="仿宋"/>
          <w:sz w:val="21"/>
          <w:szCs w:val="21"/>
          <w:highlight w:val="none"/>
        </w:rPr>
      </w:pPr>
      <w:r/>
      <w:bookmarkStart w:id="551" w:name="_Toc150480778"/>
      <w:r/>
      <w:bookmarkStart w:id="552" w:name="_Toc149720833"/>
      <w:r/>
      <w:bookmarkStart w:id="553" w:name="_Toc265228378"/>
      <w:r/>
      <w:bookmarkStart w:id="554" w:name="_Toc164229235"/>
      <w:r/>
      <w:bookmarkStart w:id="555" w:name="_Toc151193928"/>
      <w:r/>
      <w:bookmarkStart w:id="556" w:name="_Toc127151540"/>
      <w:r/>
      <w:bookmarkStart w:id="557" w:name="_Toc195842905"/>
      <w:r/>
      <w:bookmarkStart w:id="558" w:name="_Toc305158882"/>
      <w:r/>
      <w:bookmarkStart w:id="559" w:name="_Toc151193710"/>
      <w:r/>
      <w:bookmarkStart w:id="560" w:name="_Toc151193854"/>
      <w:r/>
      <w:bookmarkStart w:id="561" w:name="_Toc150774745"/>
      <w:r/>
      <w:bookmarkStart w:id="562" w:name="_Toc226337236"/>
      <w:r/>
      <w:bookmarkStart w:id="563" w:name="_Toc164351634"/>
      <w:r/>
      <w:bookmarkStart w:id="564" w:name="_Toc150774640"/>
      <w:r/>
      <w:bookmarkStart w:id="565" w:name="_Toc164608654"/>
      <w:r/>
      <w:bookmarkStart w:id="566" w:name="_Toc142311042"/>
      <w:r/>
      <w:bookmarkStart w:id="567" w:name="_Toc164608809"/>
      <w:r/>
      <w:bookmarkStart w:id="568" w:name="_Toc264969230"/>
      <w:r/>
      <w:bookmarkStart w:id="569" w:name="_Toc151190167"/>
      <w:r/>
      <w:bookmarkStart w:id="570" w:name="_Toc226965730"/>
      <w:r/>
      <w:bookmarkStart w:id="571" w:name="_Toc164229381"/>
      <w:r/>
      <w:bookmarkStart w:id="572" w:name="_Toc151193638"/>
      <w:r/>
      <w:bookmarkStart w:id="573" w:name="_Toc226965813"/>
      <w:r/>
      <w:bookmarkStart w:id="574" w:name="_Toc127161454"/>
      <w:r/>
      <w:bookmarkStart w:id="575" w:name="_Toc151193782"/>
      <w:r/>
      <w:bookmarkStart w:id="576" w:name="_Toc150509291"/>
      <w:r/>
      <w:bookmarkStart w:id="577" w:name="_Toc305158808"/>
      <w:r/>
      <w:bookmarkStart w:id="578" w:name="_Toc127151741"/>
      <w:r/>
      <w:bookmarkStart w:id="579" w:name="_Toc226309784"/>
      <w:r>
        <w:rPr>
          <w:rFonts w:hint="eastAsia" w:ascii="仿宋" w:hAnsi="仿宋" w:eastAsia="仿宋" w:cs="仿宋"/>
          <w:sz w:val="21"/>
          <w:szCs w:val="21"/>
          <w:highlight w:val="none"/>
        </w:rPr>
        <w:t xml:space="preserve">20.评标委员会</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20.1评标委员会根据政府采购有关规定和本次招标采购项目的特点进行组建，并负责具体评标事务，独立履行职责。</w:t>
      </w:r>
      <w:bookmarkStart w:id="580" w:name="_Toc520356166"/>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20.2评审专家须符合相关规定。依法自行选定评审专家的，采购人和采购代理机构将查询有关信用记录，对具有行贿、受贿、欺诈等不良信用记录的人员，拒绝其参与政府采购活动。</w:t>
      </w:r>
      <w:bookmarkEnd w:id="580"/>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21评标程序、评标方法和评标标准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21.1见第四章《评标程序、评标方法和评标标准》。</w:t>
      </w:r>
      <w:r/>
    </w:p>
    <w:p>
      <w:pPr>
        <w:pStyle w:val="1186"/>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86"/>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   </w:t>
      </w:r>
      <w:bookmarkEnd w:id="528"/>
      <w:r>
        <w:rPr>
          <w:rFonts w:hint="eastAsia" w:ascii="仿宋" w:hAnsi="仿宋" w:eastAsia="仿宋" w:cs="仿宋"/>
          <w:sz w:val="21"/>
          <w:szCs w:val="21"/>
          <w:highlight w:val="none"/>
        </w:rPr>
        <w:t xml:space="preserve">确定中标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81" w:name="_Toc151193717"/>
      <w:r/>
      <w:bookmarkStart w:id="582" w:name="_Toc127151547"/>
      <w:r/>
      <w:bookmarkStart w:id="583" w:name="_Toc164351641"/>
      <w:r/>
      <w:bookmarkStart w:id="584" w:name="_Toc151193789"/>
      <w:r/>
      <w:bookmarkStart w:id="585" w:name="_Toc164229242"/>
      <w:r/>
      <w:bookmarkStart w:id="586" w:name="_Toc265228385"/>
      <w:r/>
      <w:bookmarkStart w:id="587" w:name="_Toc150774647"/>
      <w:r/>
      <w:bookmarkStart w:id="588" w:name="_Toc305158815"/>
      <w:r/>
      <w:bookmarkStart w:id="589" w:name="_Toc226337243"/>
      <w:r/>
      <w:bookmarkStart w:id="590" w:name="_Toc164229388"/>
      <w:r/>
      <w:bookmarkStart w:id="591" w:name="_Toc151193645"/>
      <w:r/>
      <w:bookmarkStart w:id="592" w:name="_Toc151190174"/>
      <w:r/>
      <w:bookmarkStart w:id="593" w:name="_Toc151193935"/>
      <w:r/>
      <w:bookmarkStart w:id="594" w:name="_Toc149720840"/>
      <w:r/>
      <w:bookmarkStart w:id="595" w:name="_Toc164608661"/>
      <w:r/>
      <w:bookmarkStart w:id="596" w:name="_Toc305158889"/>
      <w:r/>
      <w:bookmarkStart w:id="597" w:name="_Toc150774752"/>
      <w:r/>
      <w:bookmarkStart w:id="598" w:name="_Toc226965737"/>
      <w:r/>
      <w:bookmarkStart w:id="599" w:name="_Toc264969237"/>
      <w:r/>
      <w:bookmarkStart w:id="600" w:name="_Toc150480785"/>
      <w:r/>
      <w:bookmarkStart w:id="601" w:name="_Toc150509298"/>
      <w:r/>
      <w:bookmarkStart w:id="602" w:name="_Toc151193861"/>
      <w:r/>
      <w:bookmarkStart w:id="603" w:name="_Toc195842912"/>
      <w:r/>
      <w:bookmarkStart w:id="604" w:name="_Toc127151748"/>
      <w:r/>
      <w:bookmarkStart w:id="605" w:name="_Toc226309791"/>
      <w:r/>
      <w:bookmarkStart w:id="606" w:name="_Toc127161461"/>
      <w:r/>
      <w:bookmarkStart w:id="607" w:name="_Toc142311049"/>
      <w:r/>
      <w:bookmarkStart w:id="608" w:name="_Toc164608816"/>
      <w:r/>
      <w:bookmarkStart w:id="609" w:name="_Toc22696582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22.确定中标人</w:t>
      </w:r>
      <w:r/>
    </w:p>
    <w:p>
      <w:pPr>
        <w:pStyle w:val="1278"/>
        <w:ind w:firstLine="420"/>
        <w:spacing w:line="360" w:lineRule="auto"/>
        <w:rPr>
          <w:rFonts w:hint="eastAsia" w:ascii="仿宋" w:hAnsi="仿宋" w:eastAsia="仿宋" w:cs="仿宋"/>
          <w:sz w:val="21"/>
          <w:szCs w:val="21"/>
          <w:highlight w:val="none"/>
        </w:rPr>
      </w:pPr>
      <w:r/>
      <w:bookmarkStart w:id="610" w:name="_Toc305158817"/>
      <w:r/>
      <w:bookmarkStart w:id="611" w:name="_Toc305158891"/>
      <w:r/>
      <w:bookmarkStart w:id="612" w:name="_Toc150509300"/>
      <w:r/>
      <w:bookmarkStart w:id="613" w:name="_Toc226337245"/>
      <w:r/>
      <w:bookmarkStart w:id="614" w:name="_Toc127161463"/>
      <w:r/>
      <w:bookmarkStart w:id="615" w:name="_Toc150774649"/>
      <w:r/>
      <w:bookmarkStart w:id="616" w:name="_Toc226965739"/>
      <w:r/>
      <w:bookmarkStart w:id="617" w:name="_Toc151193647"/>
      <w:r/>
      <w:bookmarkStart w:id="618" w:name="_Toc226309793"/>
      <w:r/>
      <w:bookmarkStart w:id="619" w:name="_Toc150480787"/>
      <w:r/>
      <w:bookmarkStart w:id="620" w:name="_Toc151193937"/>
      <w:r/>
      <w:bookmarkStart w:id="621" w:name="_Toc226965822"/>
      <w:r/>
      <w:bookmarkStart w:id="622" w:name="_Toc151193863"/>
      <w:r/>
      <w:bookmarkStart w:id="623" w:name="_Toc164229390"/>
      <w:r/>
      <w:bookmarkStart w:id="624" w:name="_Toc127151750"/>
      <w:r/>
      <w:bookmarkStart w:id="625" w:name="_Toc150774754"/>
      <w:r/>
      <w:bookmarkStart w:id="626" w:name="_Toc195842914"/>
      <w:r/>
      <w:bookmarkStart w:id="627" w:name="_Toc151193791"/>
      <w:r/>
      <w:bookmarkStart w:id="628" w:name="_Toc142311051"/>
      <w:r/>
      <w:bookmarkStart w:id="629" w:name="_Toc127151549"/>
      <w:r/>
      <w:bookmarkStart w:id="630" w:name="_Toc164229244"/>
      <w:r/>
      <w:bookmarkStart w:id="631" w:name="_Toc164608818"/>
      <w:r/>
      <w:bookmarkStart w:id="632" w:name="_Toc149720842"/>
      <w:r/>
      <w:bookmarkStart w:id="633" w:name="_Toc151190176"/>
      <w:r/>
      <w:bookmarkStart w:id="634" w:name="_Toc151193719"/>
      <w:r/>
      <w:bookmarkStart w:id="635" w:name="_Toc164608663"/>
      <w:r/>
      <w:bookmarkStart w:id="636" w:name="_Toc164351643"/>
      <w:r/>
      <w:bookmarkStart w:id="637" w:name="_Toc265228387"/>
      <w:r/>
      <w:bookmarkStart w:id="638" w:name="_Toc264969239"/>
      <w:r/>
      <w:bookmarkStart w:id="639" w:name="_Toc520356176"/>
      <w:r/>
      <w:bookmarkStart w:id="640" w:name="_Ref467306425"/>
      <w:r/>
      <w:bookmarkStart w:id="641" w:name="_Ref467307090"/>
      <w:r>
        <w:rPr>
          <w:rFonts w:hint="eastAsia" w:ascii="仿宋" w:hAnsi="仿宋" w:eastAsia="仿宋" w:cs="仿宋"/>
          <w:sz w:val="21"/>
          <w:szCs w:val="21"/>
          <w:highlight w:val="none"/>
        </w:rPr>
        <w:t xml:space="preserve">22.1采购人将在评标报告确定的中标候选人名单中按顺序确定中标人，中标候选人并列的，由采购人依法确定。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23.中标公告与中标通知书</w:t>
      </w:r>
      <w:bookmarkEnd w:id="610"/>
      <w:r/>
      <w:bookmarkEnd w:id="611"/>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23.1采购人或采购代理机构自中标人确定之日起2个工作日内，在常州市政府采购网公告中标结果，同时向中标人发出中标通知书，中标公告期限为1个工作日。</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23.2中标通知书对采购人和中标人均具有法律效力。中标通知书发出后，采购人改变中标结果的，或者中标人放弃中标项目的，应当依法承担法律责任。</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24.废标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24.1在招标采购中，出现下列情形之一的，应予废标：</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24.1.1符合专业条件的供应商或者对招标文件作实质响应的供应商不足三家的；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24.1.2出现影响采购公正的违法、违规行为的；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24.1.3供应商的报价均超过了采购预算或最高限价（控制价），采购人不能支付的；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25.1.4因重大变故，采购任务取消的。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24.1.5</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平台系统出现序号18.8的所述情形，情况严重且影响采购活动公平、公正性的。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24.2废标后，采购人将废标理由通知所有供应商。</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pStyle w:val="1278"/>
        <w:ind w:firstLine="420"/>
        <w:spacing w:line="360" w:lineRule="auto"/>
        <w:rPr>
          <w:rFonts w:hint="eastAsia" w:ascii="仿宋" w:hAnsi="仿宋" w:eastAsia="仿宋" w:cs="仿宋"/>
          <w:sz w:val="21"/>
          <w:szCs w:val="21"/>
          <w:highlight w:val="none"/>
        </w:rPr>
      </w:pPr>
      <w:r/>
      <w:bookmarkStart w:id="642" w:name="_Toc226965740"/>
      <w:r/>
      <w:bookmarkStart w:id="643" w:name="_Toc151190177"/>
      <w:r/>
      <w:bookmarkStart w:id="644" w:name="_Ref467306978"/>
      <w:r/>
      <w:bookmarkStart w:id="645" w:name="_Toc151193864"/>
      <w:r/>
      <w:bookmarkStart w:id="646" w:name="_Toc226965823"/>
      <w:r/>
      <w:bookmarkStart w:id="647" w:name="_Toc151193792"/>
      <w:r/>
      <w:bookmarkStart w:id="648" w:name="_Toc164608664"/>
      <w:r/>
      <w:bookmarkStart w:id="649" w:name="_Toc226309794"/>
      <w:r/>
      <w:bookmarkStart w:id="650" w:name="_Ref467306377"/>
      <w:r/>
      <w:bookmarkStart w:id="651" w:name="_Toc520356175"/>
      <w:r/>
      <w:bookmarkStart w:id="652" w:name="_Toc127161464"/>
      <w:r/>
      <w:bookmarkStart w:id="653" w:name="_Toc127151550"/>
      <w:r/>
      <w:bookmarkStart w:id="654" w:name="_Toc305158818"/>
      <w:r/>
      <w:bookmarkStart w:id="655" w:name="_Toc195842915"/>
      <w:r/>
      <w:bookmarkStart w:id="656" w:name="_Toc226337246"/>
      <w:r/>
      <w:bookmarkStart w:id="657" w:name="_Toc151193720"/>
      <w:r/>
      <w:bookmarkStart w:id="658" w:name="_Ref467307204"/>
      <w:r/>
      <w:bookmarkStart w:id="659" w:name="_Toc164229391"/>
      <w:r/>
      <w:bookmarkStart w:id="660" w:name="_Ref467307062"/>
      <w:r/>
      <w:bookmarkStart w:id="661" w:name="_Toc150480788"/>
      <w:r/>
      <w:bookmarkStart w:id="662" w:name="_Toc164608819"/>
      <w:r/>
      <w:bookmarkStart w:id="663" w:name="_Toc127151751"/>
      <w:r/>
      <w:bookmarkStart w:id="664" w:name="_Toc150774650"/>
      <w:r/>
      <w:bookmarkStart w:id="665" w:name="_Toc264969240"/>
      <w:r/>
      <w:bookmarkStart w:id="666" w:name="_Toc150774755"/>
      <w:r/>
      <w:bookmarkStart w:id="667" w:name="_Toc151193938"/>
      <w:r/>
      <w:bookmarkStart w:id="668" w:name="_Toc164351644"/>
      <w:r/>
      <w:bookmarkStart w:id="669" w:name="_Toc265228388"/>
      <w:r/>
      <w:bookmarkStart w:id="670" w:name="_Toc149720843"/>
      <w:r/>
      <w:bookmarkStart w:id="671" w:name="_Toc142311052"/>
      <w:r/>
      <w:bookmarkStart w:id="672" w:name="_Toc164229245"/>
      <w:r/>
      <w:bookmarkStart w:id="673" w:name="_Toc150509301"/>
      <w:r/>
      <w:bookmarkStart w:id="674" w:name="_Toc305158892"/>
      <w:r/>
      <w:bookmarkStart w:id="675" w:name="_Toc151193648"/>
      <w:r>
        <w:rPr>
          <w:rFonts w:hint="eastAsia" w:ascii="仿宋" w:hAnsi="仿宋" w:eastAsia="仿宋" w:cs="仿宋"/>
          <w:sz w:val="21"/>
          <w:szCs w:val="21"/>
          <w:highlight w:val="none"/>
        </w:rPr>
        <w:t xml:space="preserve">25.签订合同</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中标人、采购人应当自中标通知书发出之日起30日内，按照招标文件和中标人投标文件的规定签订书面合同。招标文件、中标人的投标文件及其澄清文件等，均为签订合同的依据。所签订的合同不得对招标文件确定的事项和中标人投标文件作实质性修改。</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25.2中标人拒绝与采购人签订合同的，采购人可以按照评标报告推荐的中标候选人名单排序，确定下一候选人为中标人，也可以重新开展政府采购活动。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25.3联合体中标的，联合体各方应当共同与采购人签订合同，就中标项目向采购人承担连带责任。</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25.4政府采购合同不能转包。</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bookmarkEnd w:id="639"/>
      <w:r/>
      <w:bookmarkEnd w:id="640"/>
      <w:r/>
      <w:bookmarkEnd w:id="641"/>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26.询问与质疑</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26.1询问</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26.1.1供应商对政府采购活动事项有疑问的，可依法提出询问，并按《供应商须知资料表》载明的形式送达采购人或采购代理机构。</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26.1.2采购人或采购代理机构对供应商依法提出的询问，在3个工作日内作出答复，但答复的内容不得涉及商业秘密。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26.2质疑</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26.2.1供应商认为招标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26.2.2</w:t>
      </w:r>
      <w:r>
        <w:rPr>
          <w:rFonts w:hint="eastAsia" w:ascii="仿宋" w:hAnsi="仿宋" w:eastAsia="仿宋" w:cs="仿宋"/>
          <w:b/>
          <w:bCs/>
          <w:sz w:val="21"/>
          <w:szCs w:val="21"/>
          <w:highlight w:val="none"/>
        </w:rPr>
        <w:t xml:space="preserve">招标文件中采购需求以及相关部分（第四章、第五章以及供应商资格要求）由采购人负责制定和管理，对该部分内容有询问或者质疑的，供应商应当向采购人书面提出，由采购人负责接收和回复。</w:t>
      </w:r>
      <w:r/>
    </w:p>
    <w:p>
      <w:pPr>
        <w:pStyle w:val="1278"/>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26.2.3质疑函须使用财政部制定的范本文件。（下载网址：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Fonts w:hint="eastAsia" w:ascii="仿宋" w:hAnsi="仿宋" w:eastAsia="仿宋" w:cs="仿宋"/>
          <w:sz w:val="21"/>
          <w:szCs w:val="21"/>
          <w:highlight w:val="none"/>
        </w:rPr>
        <w:t xml:space="preserve">http://gk</w:t>
      </w:r>
      <w:bookmarkStart w:id="676" w:name="_Hlt100654014"/>
      <w:r>
        <w:rPr>
          <w:rFonts w:hint="eastAsia" w:ascii="仿宋" w:hAnsi="仿宋" w:eastAsia="仿宋" w:cs="仿宋"/>
          <w:sz w:val="21"/>
          <w:szCs w:val="21"/>
          <w:highlight w:val="none"/>
        </w:rPr>
        <w:t xml:space="preserve">s</w:t>
      </w:r>
      <w:bookmarkEnd w:id="676"/>
      <w:r>
        <w:rPr>
          <w:rFonts w:hint="eastAsia" w:ascii="仿宋" w:hAnsi="仿宋" w:eastAsia="仿宋" w:cs="仿宋"/>
          <w:sz w:val="21"/>
          <w:szCs w:val="21"/>
          <w:highlight w:val="none"/>
        </w:rPr>
        <w:t xml:space="preserve">.m</w:t>
      </w:r>
      <w:bookmarkStart w:id="677" w:name="_Hlt100653993"/>
      <w:r/>
      <w:bookmarkStart w:id="678" w:name="_Hlt100653994"/>
      <w:r>
        <w:rPr>
          <w:rFonts w:hint="eastAsia" w:ascii="仿宋" w:hAnsi="仿宋" w:eastAsia="仿宋" w:cs="仿宋"/>
          <w:sz w:val="21"/>
          <w:szCs w:val="21"/>
          <w:highlight w:val="none"/>
        </w:rPr>
        <w:t xml:space="preserve">o</w:t>
      </w:r>
      <w:bookmarkEnd w:id="677"/>
      <w:r/>
      <w:bookmarkEnd w:id="678"/>
      <w:r>
        <w:rPr>
          <w:rFonts w:hint="eastAsia" w:ascii="仿宋" w:hAnsi="仿宋" w:eastAsia="仿宋" w:cs="仿宋"/>
          <w:sz w:val="21"/>
          <w:szCs w:val="21"/>
          <w:highlight w:val="none"/>
        </w:rPr>
        <w:t xml:space="preserve">f.gov.cn/ztztz/zhengfucaigouguanli/201802/t20180201_2804589.htm</w:t>
      </w:r>
      <w:r>
        <w:rPr>
          <w:rFonts w:hint="eastAsia" w:ascii="仿宋" w:hAnsi="仿宋" w:eastAsia="仿宋" w:cs="仿宋"/>
          <w:sz w:val="21"/>
          <w:szCs w:val="21"/>
          <w:highlight w:val="none"/>
        </w:rPr>
        <w:fldChar w:fldCharType="end"/>
      </w:r>
      <w:r>
        <w:rPr>
          <w:rFonts w:hint="eastAsia" w:ascii="仿宋" w:hAnsi="仿宋" w:eastAsia="仿宋" w:cs="仿宋"/>
          <w:sz w:val="21"/>
          <w:szCs w:val="21"/>
          <w:highlight w:val="none"/>
        </w:rPr>
        <w:t xml:space="preserve">）</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26.2.4供应商为自然人的，应当由本人签字；供应商为法人或者其他组织的，应当由法定代表人、主要负责人，或者其授权代表签字或者加盖公章，并加盖公章。</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26.2.5供应商应在法定质疑期内一次性提出针对同一采购程序环节的质疑，法定质疑期内针对同一采购程序环节再次提出的质疑，采购人、采购代理机构有权不予答复。</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26.3接收询问和质疑的联系部门、联系电话和通讯地址见《供应商须知资料表》。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27.代理费</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27.1收费对象、收费标准及缴纳时间见《供应商须知资料表》。由中标人支付的，中标人在领取中标通知书前须一次性向采购代理机构缴纳代理费，投标报价应包含代理费用。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27.2代理服务收费标准：见《供应商须知资料表》</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27.3代理费收取账户信息：</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收款单位：江苏城建校工程咨询有限公司</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开户银行：江苏银行常州怀德支行 </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账号：81700188000089469</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spacing w:line="360" w:lineRule="auto"/>
        <w:tabs>
          <w:tab w:val="left" w:pos="900" w:leader="none"/>
          <w:tab w:val="left" w:pos="1080" w:leader="none"/>
          <w:tab w:val="left" w:pos="1589"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left="360"/>
        <w:spacing w:line="360" w:lineRule="auto"/>
        <w:tabs>
          <w:tab w:val="left" w:pos="360" w:leader="none"/>
          <w:tab w:val="left" w:pos="10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Style w:val="1243"/>
          <w:rFonts w:hint="eastAsia" w:ascii="仿宋" w:hAnsi="仿宋" w:eastAsia="仿宋" w:cs="仿宋"/>
          <w:highlight w:val="none"/>
        </w:rPr>
        <w:outlineLvl w:val="0"/>
      </w:pPr>
      <w:r/>
      <w:bookmarkStart w:id="679" w:name="_Toc142311056"/>
      <w:r/>
      <w:bookmarkStart w:id="680" w:name="_Toc265228392"/>
      <w:r/>
      <w:bookmarkStart w:id="681" w:name="_Toc150480792"/>
      <w:r/>
      <w:bookmarkStart w:id="682" w:name="_Toc150774759"/>
      <w:r/>
      <w:bookmarkStart w:id="683" w:name="_Toc353873664"/>
      <w:r/>
      <w:bookmarkStart w:id="684" w:name="_Toc226965827"/>
      <w:r/>
      <w:bookmarkStart w:id="685" w:name="_Toc226337250"/>
      <w:r/>
      <w:bookmarkStart w:id="686" w:name="_Toc264969244"/>
      <w:r/>
      <w:bookmarkStart w:id="687" w:name="_Toc353873934"/>
      <w:r/>
      <w:bookmarkStart w:id="688" w:name="_Toc305158822"/>
      <w:r/>
      <w:bookmarkStart w:id="689" w:name="_Toc305158896"/>
      <w:r/>
      <w:bookmarkStart w:id="690" w:name="_Toc127151554"/>
      <w:r/>
      <w:bookmarkStart w:id="691" w:name="_Toc353825544"/>
      <w:r>
        <w:rPr>
          <w:rFonts w:hint="eastAsia" w:ascii="仿宋" w:hAnsi="仿宋" w:eastAsia="仿宋" w:cs="仿宋"/>
          <w:sz w:val="24"/>
          <w:highlight w:val="none"/>
        </w:rPr>
        <w:br w:type="page" w:clear="all"/>
      </w:r>
      <w:bookmarkStart w:id="692" w:name="_Toc25537"/>
      <w:r>
        <w:rPr>
          <w:rStyle w:val="1243"/>
          <w:rFonts w:hint="eastAsia" w:ascii="仿宋" w:hAnsi="仿宋" w:eastAsia="仿宋" w:cs="仿宋"/>
          <w:highlight w:val="none"/>
        </w:rPr>
        <w:t xml:space="preserve">第三章   </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Style w:val="1243"/>
          <w:rFonts w:hint="eastAsia" w:ascii="仿宋" w:hAnsi="仿宋" w:eastAsia="仿宋" w:cs="仿宋"/>
          <w:highlight w:val="none"/>
        </w:rPr>
        <w:t xml:space="preserve">资格审查</w:t>
      </w:r>
      <w:bookmarkEnd w:id="692"/>
      <w:r/>
      <w:bookmarkStart w:id="693" w:name="_Toc487900382"/>
      <w:r/>
      <w:r/>
    </w:p>
    <w:p>
      <w:pPr>
        <w:jc w:val="center"/>
        <w:spacing w:line="360" w:lineRule="auto"/>
        <w:tabs>
          <w:tab w:val="left" w:pos="360" w:leader="none"/>
          <w:tab w:val="left" w:pos="900" w:leader="none"/>
        </w:tabs>
        <w:rPr>
          <w:rFonts w:hint="eastAsia" w:ascii="仿宋" w:hAnsi="仿宋" w:eastAsia="仿宋" w:cs="仿宋"/>
          <w:b/>
          <w:sz w:val="24"/>
          <w:highlight w:val="none"/>
        </w:rPr>
        <w:outlineLvl w:val="1"/>
      </w:pPr>
      <w:r/>
      <w:bookmarkStart w:id="694" w:name="_Toc99301422"/>
      <w:r>
        <w:rPr>
          <w:rFonts w:hint="eastAsia" w:ascii="仿宋" w:hAnsi="仿宋" w:eastAsia="仿宋" w:cs="仿宋"/>
          <w:b/>
          <w:sz w:val="24"/>
          <w:highlight w:val="none"/>
        </w:rPr>
        <w:t xml:space="preserve">一、资格审查程序</w:t>
      </w:r>
      <w:bookmarkEnd w:id="694"/>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1.开标结束后，采购人将根据《资格审查要求》中的规定，对供应商进行资格审查，并形成资格审查结果。</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2.《资格审查要求》中对格式有要求的，除招标文件另有规定外，均为“实质性格式”文件。</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3.供应商《资格证明文件》有任何一项不符合《资格审查要求》的，资格审查不合格，其投标无效。</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4.资格审查合格的供应商不足3家的，不进行评标。</w:t>
      </w:r>
      <w:r/>
    </w:p>
    <w:p>
      <w:pPr>
        <w:ind w:firstLine="422"/>
        <w:jc w:val="center"/>
        <w:spacing w:line="360" w:lineRule="auto"/>
        <w:tabs>
          <w:tab w:val="left" w:pos="360" w:leader="none"/>
          <w:tab w:val="left" w:pos="900" w:leader="none"/>
        </w:tabs>
        <w:rPr>
          <w:rFonts w:hint="eastAsia" w:ascii="仿宋" w:hAnsi="仿宋" w:eastAsia="仿宋" w:cs="仿宋"/>
          <w:b/>
          <w:szCs w:val="21"/>
          <w:highlight w:val="none"/>
        </w:rPr>
        <w:outlineLvl w:val="1"/>
      </w:pPr>
      <w:r>
        <w:rPr>
          <w:rFonts w:hint="eastAsia" w:ascii="仿宋" w:hAnsi="仿宋" w:eastAsia="仿宋" w:cs="仿宋"/>
          <w:b/>
          <w:szCs w:val="21"/>
          <w:highlight w:val="none"/>
        </w:rPr>
        <w:t xml:space="preserve">二、资格审查要求</w:t>
      </w:r>
      <w:r/>
    </w:p>
    <w:tbl>
      <w:tblPr>
        <w:tblStyle w:val="119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643"/>
        <w:gridCol w:w="5212"/>
        <w:gridCol w:w="2202"/>
      </w:tblGrid>
      <w:tr>
        <w:trPr>
          <w:trHeight w:val="468"/>
          <w:tblHeader/>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bookmarkStart w:id="695" w:name="_Hlt487972895"/>
            <w:r/>
            <w:bookmarkEnd w:id="695"/>
            <w:r>
              <w:rPr>
                <w:rFonts w:hint="eastAsia" w:ascii="仿宋" w:hAnsi="仿宋" w:eastAsia="仿宋" w:cs="仿宋"/>
                <w:b/>
                <w:szCs w:val="21"/>
                <w:highlight w:val="none"/>
              </w:rPr>
              <w:t xml:space="preserve">序号</w:t>
            </w:r>
            <w:r/>
          </w:p>
        </w:tc>
        <w:tc>
          <w:tcPr>
            <w:tcW w:w="824"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审查因素</w:t>
            </w:r>
            <w:r/>
          </w:p>
        </w:tc>
        <w:tc>
          <w:tcPr>
            <w:tcW w:w="2615"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审查内容</w:t>
            </w:r>
            <w:r/>
          </w:p>
        </w:tc>
        <w:tc>
          <w:tcPr>
            <w:tcW w:w="1105" w:type="pct"/>
            <w:vAlign w:val="center"/>
            <w:textDirection w:val="lrTb"/>
            <w:noWrap w:val="false"/>
          </w:tcPr>
          <w:p>
            <w:pPr>
              <w:jc w:val="center"/>
              <w:spacing w:line="240" w:lineRule="exact"/>
              <w:tabs>
                <w:tab w:val="left" w:pos="10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格式要求</w:t>
            </w:r>
            <w:r/>
          </w:p>
        </w:tc>
      </w:tr>
      <w:tr>
        <w:trPr>
          <w:trHeight w:val="468"/>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满足《中华人民共和国政府采购法》第二十二条规定及法律法规的其他规定</w:t>
            </w:r>
            <w:r/>
          </w:p>
        </w:tc>
        <w:tc>
          <w:tcPr>
            <w:tcW w:w="2615" w:type="pct"/>
            <w:vAlign w:val="center"/>
            <w:textDirection w:val="lrTb"/>
            <w:noWrap w:val="false"/>
          </w:tcPr>
          <w:p>
            <w:pPr>
              <w:pStyle w:val="1202"/>
              <w:spacing w:before="0" w:line="24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具体规定见第一章《投标邀请》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须提供的证明材料详见《投标文件格式》及苏采云系统要求的评审材料</w:t>
            </w:r>
            <w:r/>
          </w:p>
        </w:tc>
      </w:tr>
      <w:tr>
        <w:trPr>
          <w:trHeight w:val="468"/>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W w:w="82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供应商资格声明函</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提供了符合招标文件要求的《供应商资格声明函》。</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格式见《投标文件格式》</w:t>
            </w:r>
            <w:r/>
          </w:p>
        </w:tc>
      </w:tr>
      <w:tr>
        <w:trPr>
          <w:trHeight w:val="76"/>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供应商信用记录</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查询渠道：信用中国网站和中国政府采购网（www.creditchina.gov.cn、www.ccgp.gov.cn）；</w:t>
            </w:r>
            <w:r/>
          </w:p>
          <w:p>
            <w:pPr>
              <w:spacing w:line="240" w:lineRule="exact"/>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截止时点：投标截止时间以后、资格审查阶段采购人或采购代理机构的实际查询时间；</w:t>
            </w:r>
            <w:r/>
          </w:p>
          <w:p>
            <w:pPr>
              <w:spacing w:line="240" w:lineRule="exact"/>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信用信息查询记录和证据留存具体方式：查询结果网页打印页作为查询记录和证据，与其他招标文件一并保存；</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信用信息的使用原则：经认定的被列入失信被执行人、重大税收违法案件当事人名单、政府采购严重违法失信行为记录名单的供应商，其投标无效。联合体形式投标的，联合体成员存在不良信用记录，视同联合体存在不良信用记录。</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无须供应商提供，由采购人查询。</w:t>
            </w:r>
            <w:r/>
          </w:p>
        </w:tc>
      </w:tr>
      <w:tr>
        <w:trPr>
          <w:trHeight w:val="933"/>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落实政府采购政策需满足的资格要求</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具体要求见第一章《投标邀请》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68"/>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中小企业声明函</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1.供应商单独投标的，应提供中小企业声明函；如为监狱企业或残疾人福利性单位，不必提供中小企业声明函，但须按注1或注2要求提供证明材料。</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如招标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注1：监狱企业须提供由省级以上监狱管理局（常州市含教育矫治局）、戒毒管理局（含新疆生产建设兵团）出具的属于监狱企业的证明文件。</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注2：残疾人福利性单位须按招标文件要求提供《残疾人福利性单位声明函》。</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b/>
                <w:bCs/>
                <w:szCs w:val="21"/>
                <w:highlight w:val="none"/>
              </w:rPr>
            </w:pPr>
            <w:r>
              <w:rPr>
                <w:rFonts w:hint="eastAsia" w:ascii="仿宋" w:hAnsi="仿宋" w:eastAsia="仿宋" w:cs="仿宋"/>
                <w:b/>
                <w:bCs/>
                <w:szCs w:val="21"/>
                <w:highlight w:val="none"/>
              </w:rPr>
              <w:t xml:space="preserve">如本项目（包）是专门面向中小企业采购的，必须提供，格式见《投标文件格式》</w:t>
            </w:r>
            <w:r/>
          </w:p>
        </w:tc>
      </w:tr>
      <w:tr>
        <w:trPr>
          <w:trHeight w:val="1203"/>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highlight w:val="none"/>
              </w:rPr>
              <w:t xml:space="preserve">拟分包情况说明及分包意向协议（类型二）</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highlight w:val="none"/>
              </w:rPr>
            </w:pPr>
            <w:r>
              <w:rPr>
                <w:rFonts w:hint="eastAsia" w:ascii="仿宋" w:hAnsi="仿宋" w:eastAsia="仿宋" w:cs="仿宋"/>
                <w:highlight w:val="none"/>
              </w:rPr>
              <w:t xml:space="preserve">如本项目（包）要求通过分包措施预留部分采购份额面向中小企业采购、且供应商因落实政府采购政策拟进行分包的，必须提供；否则无须提供。</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highlight w:val="none"/>
              </w:rPr>
              <w:t xml:space="preserve">对于预留份额专门面向中小企业采购的项目（包），组成联合体或者接受分包合同的中小企业与联合体内其他企业、分包企业之间不得存在直接控股、管理关系。</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格式见《投标文件格式》</w:t>
            </w:r>
            <w:r/>
          </w:p>
        </w:tc>
      </w:tr>
      <w:tr>
        <w:trPr>
          <w:trHeight w:val="1203"/>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2-3</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其它落实政府采购政策的资格要求</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如有，见第一章《投标邀请》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提供证明文件的扫描件加盖公章</w:t>
            </w:r>
            <w:r/>
          </w:p>
        </w:tc>
      </w:tr>
      <w:tr>
        <w:trPr>
          <w:trHeight w:val="650"/>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本项目的特定资格要求</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如有，见第一章《投标邀请》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3-1</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是否接受联合体投标</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如本项目接受联合体投标，且供应商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2.联合体各成员单位均须提供本表中序号1-1.1-2的证明文件。</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3.本表序号3-2项规定的其他特定资格要求中的每一小项要求，联合体各方中至少应当有一方符合本表中其他资格要求并提供证明文件。</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4.联合体中有同类资质的供应商按照联合体分工承担相同工作的，应当按照资质等级较低的供应商确定资质等级。</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5.以联合体形式参加政府采购活动的，联合体各方不得再单独参加或者与其他供应商另外组成联合体参加同一合同项下的政府采购活动。</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6.若联合体中任一成员单位中途退出，则该联合体的</w:t>
            </w:r>
            <w:r>
              <w:rPr>
                <w:rFonts w:hint="eastAsia" w:ascii="仿宋" w:hAnsi="仿宋" w:eastAsia="仿宋" w:cs="仿宋"/>
                <w:b/>
                <w:szCs w:val="21"/>
                <w:highlight w:val="none"/>
              </w:rPr>
              <w:t xml:space="preserve">投标无效</w:t>
            </w:r>
            <w:r>
              <w:rPr>
                <w:rFonts w:hint="eastAsia" w:ascii="仿宋" w:hAnsi="仿宋" w:eastAsia="仿宋" w:cs="仿宋"/>
                <w:szCs w:val="21"/>
                <w:highlight w:val="none"/>
              </w:rPr>
              <w:t xml:space="preserve">。</w:t>
            </w:r>
            <w:r/>
          </w:p>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7.本项目不接受联合体投标时，供应商不得为联合体。</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提供《联合协议》原件的电子件</w:t>
            </w:r>
            <w:r/>
          </w:p>
          <w:p>
            <w:pPr>
              <w:pStyle w:val="1226"/>
              <w:ind w:left="0" w:firstLine="0"/>
              <w:jc w:val="left"/>
              <w:spacing w:after="0" w:line="240" w:lineRule="exact"/>
              <w:rPr>
                <w:rFonts w:hint="eastAsia" w:ascii="仿宋" w:hAnsi="仿宋" w:eastAsia="仿宋" w:cs="仿宋"/>
                <w:szCs w:val="21"/>
                <w:highlight w:val="none"/>
              </w:rPr>
            </w:pPr>
            <w:r>
              <w:rPr>
                <w:rFonts w:hint="eastAsia" w:ascii="仿宋" w:hAnsi="仿宋" w:eastAsia="仿宋" w:cs="仿宋"/>
                <w:sz w:val="21"/>
                <w:szCs w:val="21"/>
                <w:highlight w:val="none"/>
              </w:rPr>
              <w:t xml:space="preserve">格式见《投标文件格式》</w:t>
            </w:r>
            <w:r/>
          </w:p>
        </w:tc>
      </w:tr>
      <w:tr>
        <w:trPr>
          <w:trHeight w:val="460"/>
        </w:trPr>
        <w:tc>
          <w:tcPr>
            <w:tcW w:w="454" w:type="pct"/>
            <w:vAlign w:val="center"/>
            <w:textDirection w:val="lrTb"/>
            <w:noWrap w:val="false"/>
          </w:tcPr>
          <w:p>
            <w:pPr>
              <w:jc w:val="cente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3-2</w:t>
            </w:r>
            <w:r/>
          </w:p>
        </w:tc>
        <w:tc>
          <w:tcPr>
            <w:tcW w:w="824"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其他特定资格要求（如有）</w:t>
            </w:r>
            <w:r/>
          </w:p>
        </w:tc>
        <w:tc>
          <w:tcPr>
            <w:tcW w:w="261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见第一章《投标邀请》</w:t>
            </w:r>
            <w:r/>
          </w:p>
        </w:tc>
        <w:tc>
          <w:tcPr>
            <w:tcW w:w="1105" w:type="pct"/>
            <w:vAlign w:val="center"/>
            <w:textDirection w:val="lrTb"/>
            <w:noWrap w:val="false"/>
          </w:tcPr>
          <w:p>
            <w:pPr>
              <w:spacing w:line="240" w:lineRule="exact"/>
              <w:tabs>
                <w:tab w:val="left" w:pos="10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提供证明文件的电子件或电子证照</w:t>
            </w:r>
            <w:r/>
          </w:p>
        </w:tc>
      </w:tr>
    </w:tbl>
    <w:p>
      <w:pPr>
        <w:pStyle w:val="1202"/>
        <w:rPr>
          <w:rFonts w:hint="eastAsia" w:ascii="仿宋" w:hAnsi="仿宋" w:eastAsia="仿宋" w:cs="仿宋"/>
          <w:highlight w:val="none"/>
        </w:rPr>
      </w:pPr>
      <w:r>
        <w:rPr>
          <w:rFonts w:hint="eastAsia" w:ascii="仿宋" w:hAnsi="仿宋" w:eastAsia="仿宋" w:cs="仿宋"/>
          <w:szCs w:val="21"/>
          <w:highlight w:val="none"/>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693"/>
      <w:r/>
      <w:r/>
    </w:p>
    <w:p>
      <w:pPr>
        <w:jc w:val="center"/>
        <w:spacing w:line="360" w:lineRule="auto"/>
        <w:rPr>
          <w:rStyle w:val="1243"/>
          <w:rFonts w:hint="eastAsia" w:ascii="仿宋" w:hAnsi="仿宋" w:eastAsia="仿宋" w:cs="仿宋"/>
          <w:highlight w:val="none"/>
        </w:rPr>
        <w:outlineLvl w:val="0"/>
      </w:pPr>
      <w:r/>
      <w:bookmarkStart w:id="696" w:name="_Toc353825550"/>
      <w:r/>
      <w:bookmarkStart w:id="697" w:name="_Toc226965858"/>
      <w:r/>
      <w:bookmarkStart w:id="698" w:name="_Toc127151779"/>
      <w:r/>
      <w:bookmarkStart w:id="699" w:name="_Toc127161490"/>
      <w:r/>
      <w:bookmarkStart w:id="700" w:name="_Toc353873940"/>
      <w:r/>
      <w:bookmarkStart w:id="701" w:name="_Toc27609"/>
      <w:r>
        <w:rPr>
          <w:rStyle w:val="1243"/>
          <w:rFonts w:hint="eastAsia" w:ascii="仿宋" w:hAnsi="仿宋" w:eastAsia="仿宋" w:cs="仿宋"/>
          <w:highlight w:val="none"/>
        </w:rPr>
        <w:t xml:space="preserve">第四章   </w:t>
      </w:r>
      <w:bookmarkEnd w:id="696"/>
      <w:r/>
      <w:bookmarkEnd w:id="697"/>
      <w:r/>
      <w:bookmarkEnd w:id="698"/>
      <w:r/>
      <w:bookmarkEnd w:id="699"/>
      <w:r/>
      <w:bookmarkEnd w:id="700"/>
      <w:r/>
      <w:bookmarkStart w:id="702" w:name="_Hlt164229061"/>
      <w:r/>
      <w:bookmarkEnd w:id="702"/>
      <w:r>
        <w:rPr>
          <w:rStyle w:val="1243"/>
          <w:rFonts w:hint="eastAsia" w:ascii="仿宋" w:hAnsi="仿宋" w:eastAsia="仿宋" w:cs="仿宋"/>
          <w:highlight w:val="none"/>
        </w:rPr>
        <w:t xml:space="preserve">评标程序、评标方法和评标标准</w:t>
      </w:r>
      <w:bookmarkEnd w:id="701"/>
      <w:r/>
      <w:r/>
    </w:p>
    <w:p>
      <w:pPr>
        <w:jc w:val="center"/>
        <w:spacing w:line="360" w:lineRule="auto"/>
        <w:tabs>
          <w:tab w:val="left" w:pos="360" w:leader="none"/>
          <w:tab w:val="left" w:pos="900" w:leader="none"/>
        </w:tabs>
        <w:rPr>
          <w:rFonts w:hint="eastAsia" w:ascii="仿宋" w:hAnsi="仿宋" w:eastAsia="仿宋" w:cs="仿宋"/>
          <w:b/>
          <w:highlight w:val="none"/>
        </w:rPr>
        <w:outlineLvl w:val="1"/>
      </w:pPr>
      <w:r>
        <w:rPr>
          <w:rFonts w:hint="eastAsia" w:ascii="仿宋" w:hAnsi="仿宋" w:eastAsia="仿宋" w:cs="仿宋"/>
          <w:b/>
          <w:sz w:val="24"/>
          <w:highlight w:val="none"/>
        </w:rPr>
        <w:t xml:space="preserve">一、评标程序</w:t>
      </w:r>
      <w:r/>
    </w:p>
    <w:p>
      <w:pPr>
        <w:pStyle w:val="1278"/>
        <w:ind w:firstLine="420"/>
        <w:spacing w:line="360" w:lineRule="auto"/>
        <w:rPr>
          <w:rFonts w:hint="eastAsia" w:ascii="仿宋" w:hAnsi="仿宋" w:eastAsia="仿宋" w:cs="仿宋"/>
          <w:sz w:val="21"/>
          <w:szCs w:val="21"/>
          <w:highlight w:val="none"/>
        </w:rPr>
      </w:pPr>
      <w:r/>
      <w:bookmarkStart w:id="703" w:name="_Toc151193783"/>
      <w:r/>
      <w:bookmarkStart w:id="704" w:name="_Toc164608655"/>
      <w:r/>
      <w:bookmarkStart w:id="705" w:name="_Toc151193855"/>
      <w:r/>
      <w:bookmarkStart w:id="706" w:name="_Toc151193929"/>
      <w:r/>
      <w:bookmarkStart w:id="707" w:name="_Toc127161455"/>
      <w:r/>
      <w:bookmarkStart w:id="708" w:name="_Toc151193639"/>
      <w:r/>
      <w:bookmarkStart w:id="709" w:name="_Toc305158883"/>
      <w:r/>
      <w:bookmarkStart w:id="710" w:name="_Toc164229382"/>
      <w:r/>
      <w:bookmarkStart w:id="711" w:name="_Toc226965731"/>
      <w:r/>
      <w:bookmarkStart w:id="712" w:name="_Toc127151541"/>
      <w:r/>
      <w:bookmarkStart w:id="713" w:name="_Toc149720834"/>
      <w:r/>
      <w:bookmarkStart w:id="714" w:name="_Toc265228379"/>
      <w:r/>
      <w:bookmarkStart w:id="715" w:name="_Toc150480779"/>
      <w:r/>
      <w:bookmarkStart w:id="716" w:name="_Toc305158809"/>
      <w:r/>
      <w:bookmarkStart w:id="717" w:name="_Toc150509292"/>
      <w:r/>
      <w:bookmarkStart w:id="718" w:name="_Toc127151742"/>
      <w:r/>
      <w:bookmarkStart w:id="719" w:name="_Toc150774641"/>
      <w:r/>
      <w:bookmarkStart w:id="720" w:name="_Toc151193711"/>
      <w:r/>
      <w:bookmarkStart w:id="721" w:name="_Toc151190168"/>
      <w:r/>
      <w:bookmarkStart w:id="722" w:name="_Toc142311043"/>
      <w:r/>
      <w:bookmarkStart w:id="723" w:name="_Toc226965814"/>
      <w:r/>
      <w:bookmarkStart w:id="724" w:name="_Toc164229236"/>
      <w:r/>
      <w:bookmarkStart w:id="725" w:name="_Toc226309785"/>
      <w:r/>
      <w:bookmarkStart w:id="726" w:name="_Toc264969231"/>
      <w:r/>
      <w:bookmarkStart w:id="727" w:name="_Toc226337237"/>
      <w:r/>
      <w:bookmarkStart w:id="728" w:name="_Toc150774746"/>
      <w:r/>
      <w:bookmarkStart w:id="729" w:name="_Toc164608810"/>
      <w:r/>
      <w:bookmarkStart w:id="730" w:name="_Toc195842906"/>
      <w:r/>
      <w:bookmarkStart w:id="731" w:name="_Toc164351635"/>
      <w:r/>
      <w:bookmarkStart w:id="732" w:name="_Toc353825551"/>
      <w:r/>
      <w:bookmarkStart w:id="733" w:name="_Toc353873941"/>
      <w:r/>
      <w:bookmarkStart w:id="734" w:name="_Toc305158897"/>
      <w:r/>
      <w:bookmarkStart w:id="735" w:name="_Toc353825545"/>
      <w:r/>
      <w:bookmarkStart w:id="736" w:name="_Toc127151555"/>
      <w:r/>
      <w:bookmarkStart w:id="737" w:name="_Toc142311057"/>
      <w:r/>
      <w:bookmarkStart w:id="738" w:name="_Toc150774760"/>
      <w:r/>
      <w:bookmarkStart w:id="739" w:name="_Toc264969245"/>
      <w:r/>
      <w:bookmarkStart w:id="740" w:name="_Toc150480793"/>
      <w:r/>
      <w:bookmarkStart w:id="741" w:name="_Toc353873935"/>
      <w:r/>
      <w:bookmarkStart w:id="742" w:name="_Toc305158823"/>
      <w:r/>
      <w:bookmarkStart w:id="743" w:name="_Toc226337251"/>
      <w:r/>
      <w:bookmarkStart w:id="744" w:name="_Toc353873665"/>
      <w:r/>
      <w:bookmarkStart w:id="745" w:name="_Toc265228393"/>
      <w:r/>
      <w:bookmarkStart w:id="746" w:name="_Toc195842920"/>
      <w:r/>
      <w:bookmarkStart w:id="747" w:name="_Toc226965828"/>
      <w:r>
        <w:rPr>
          <w:rFonts w:hint="eastAsia" w:ascii="仿宋" w:hAnsi="仿宋" w:eastAsia="仿宋" w:cs="仿宋"/>
          <w:sz w:val="21"/>
          <w:szCs w:val="21"/>
          <w:highlight w:val="none"/>
        </w:rPr>
        <w:t xml:space="preserve">1.投标文件的符合性审查</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1.1评标委员会对资格审查合格的供应商的投标文件进行符合性审查，以确定其是否满足招标文件的实质性要求。</w:t>
      </w:r>
      <w:bookmarkStart w:id="748" w:name="_Toc520356167"/>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评标委员会根据《符合性审查要求》中规定的审查因素和审查内容，对供应商的投标文件是否实质上响应招标文件进行符合性审查，并形成符合性审查评审结果。供应商《商务技术文件》有任何一项不符合《符合性审查要求》</w:t>
      </w:r>
      <w:bookmarkEnd w:id="748"/>
      <w:r>
        <w:rPr>
          <w:rFonts w:hint="eastAsia" w:ascii="仿宋" w:hAnsi="仿宋" w:eastAsia="仿宋" w:cs="仿宋"/>
          <w:sz w:val="21"/>
          <w:szCs w:val="21"/>
          <w:highlight w:val="none"/>
        </w:rPr>
        <w:t xml:space="preserve">要求的，投标无效。</w:t>
      </w:r>
      <w:r/>
    </w:p>
    <w:p>
      <w:pPr>
        <w:ind w:hanging="357"/>
        <w:jc w:val="center"/>
        <w:spacing w:line="360" w:lineRule="auto"/>
        <w:tabs>
          <w:tab w:val="left" w:pos="900" w:leader="none"/>
          <w:tab w:val="left" w:pos="1080" w:leader="none"/>
          <w:tab w:val="left" w:pos="1589"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符合性审查要求</w:t>
      </w:r>
      <w:r/>
    </w:p>
    <w:tbl>
      <w:tblPr>
        <w:tblStyle w:val="1195"/>
        <w:tblW w:w="52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339"/>
        <w:gridCol w:w="7295"/>
      </w:tblGrid>
      <w:tr>
        <w:trPr>
          <w:jc w:val="center"/>
          <w:trHeight w:val="489"/>
          <w:tblHeader/>
        </w:trPr>
        <w:tc>
          <w:tcPr>
            <w:tcW w:w="353" w:type="pct"/>
            <w:vAlign w:val="center"/>
            <w:textDirection w:val="lrTb"/>
            <w:noWrap w:val="false"/>
          </w:tcPr>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序号</w:t>
            </w:r>
            <w:r/>
          </w:p>
        </w:tc>
        <w:tc>
          <w:tcPr>
            <w:tcW w:w="1128" w:type="pct"/>
            <w:vAlign w:val="center"/>
            <w:textDirection w:val="lrTb"/>
            <w:noWrap w:val="false"/>
          </w:tcPr>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审查因素</w:t>
            </w:r>
            <w:r/>
          </w:p>
        </w:tc>
        <w:tc>
          <w:tcPr>
            <w:tcW w:w="3518" w:type="pct"/>
            <w:vAlign w:val="center"/>
            <w:textDirection w:val="lrTb"/>
            <w:noWrap w:val="false"/>
          </w:tcPr>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审查内容</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投标函、</w:t>
            </w:r>
            <w:r>
              <w:rPr>
                <w:rFonts w:hint="eastAsia" w:ascii="仿宋" w:hAnsi="仿宋" w:eastAsia="仿宋" w:cs="仿宋"/>
                <w:szCs w:val="21"/>
                <w:highlight w:val="none"/>
              </w:rPr>
              <w:t xml:space="preserve">法定代表人资格证明书、法定代表人授权委托书（如有）和政府采购供应商信用承诺书</w:t>
            </w:r>
            <w:r/>
          </w:p>
        </w:tc>
        <w:tc>
          <w:tcPr>
            <w:tcW w:w="3518" w:type="pct"/>
            <w:vAlign w:val="center"/>
            <w:textDirection w:val="lrTb"/>
            <w:noWrap w:val="false"/>
          </w:tcPr>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按招标文件要求提供投标函、</w:t>
            </w:r>
            <w:r>
              <w:rPr>
                <w:rFonts w:hint="eastAsia" w:ascii="仿宋" w:hAnsi="仿宋" w:eastAsia="仿宋" w:cs="仿宋"/>
                <w:b/>
                <w:bCs/>
                <w:szCs w:val="21"/>
                <w:highlight w:val="none"/>
              </w:rPr>
              <w:t xml:space="preserve">法定代表人资格证明书、法定代表人授权委托书（如有）和政府采购供应商信用承诺书</w:t>
            </w:r>
            <w:r>
              <w:rPr>
                <w:rFonts w:hint="eastAsia" w:ascii="仿宋" w:hAnsi="仿宋" w:eastAsia="仿宋" w:cs="仿宋"/>
                <w:b/>
                <w:bCs/>
                <w:szCs w:val="21"/>
                <w:highlight w:val="none"/>
              </w:rPr>
              <w:t xml:space="preserve">；格式见《投标文件格式》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投标完整性</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未将一个采购包中的内容拆开投标；（由评委审查，无需供应商提供材料）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投标报价</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投标报价未</w:t>
            </w:r>
            <w:r>
              <w:rPr>
                <w:rFonts w:hint="eastAsia" w:ascii="仿宋" w:hAnsi="仿宋" w:eastAsia="仿宋" w:cs="仿宋"/>
                <w:szCs w:val="21"/>
                <w:highlight w:val="none"/>
              </w:rPr>
              <w:t xml:space="preserve">超过招标文件中规定的项目/采购包预算金额或者项目/采购包最高限价</w:t>
            </w:r>
            <w:r>
              <w:rPr>
                <w:rFonts w:hint="eastAsia" w:ascii="仿宋" w:hAnsi="仿宋" w:eastAsia="仿宋" w:cs="仿宋"/>
                <w:szCs w:val="21"/>
                <w:highlight w:val="none"/>
              </w:rPr>
              <w:t xml:space="preserve">；</w:t>
            </w:r>
            <w:r>
              <w:rPr>
                <w:rFonts w:hint="eastAsia" w:ascii="仿宋" w:hAnsi="仿宋" w:eastAsia="仿宋" w:cs="仿宋"/>
                <w:szCs w:val="21"/>
                <w:highlight w:val="none"/>
              </w:rPr>
              <w:t xml:space="preserve">（由评委审查，无需供应商提供材料）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报价唯一性</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投标文件未</w:t>
            </w:r>
            <w:r>
              <w:rPr>
                <w:rFonts w:hint="eastAsia" w:ascii="仿宋" w:hAnsi="仿宋" w:eastAsia="仿宋" w:cs="仿宋"/>
                <w:szCs w:val="21"/>
                <w:highlight w:val="none"/>
              </w:rPr>
              <w:t xml:space="preserve">出现可选择性或可调整的报价（招标文件另有规定的除外）</w:t>
            </w:r>
            <w:r>
              <w:rPr>
                <w:rFonts w:hint="eastAsia" w:ascii="仿宋" w:hAnsi="仿宋" w:eastAsia="仿宋" w:cs="仿宋"/>
                <w:szCs w:val="21"/>
                <w:highlight w:val="none"/>
              </w:rPr>
              <w:t xml:space="preserve">；提供《开标一览表》《投标分项报价表》，格式见《投标文件格式》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投标有效期</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投标文件中承诺的投标有效期满足招标文件中载明的投标有效期的；提供承诺书。</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签署、加盖公章</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按照招标文件要求签署、加盖公章的；</w:t>
            </w:r>
            <w:r>
              <w:rPr>
                <w:rFonts w:hint="eastAsia" w:ascii="仿宋" w:hAnsi="仿宋" w:eastAsia="仿宋" w:cs="仿宋"/>
                <w:szCs w:val="21"/>
                <w:highlight w:val="none"/>
              </w:rPr>
              <w:t xml:space="preserve">（由评委审查，无需供应商提供材料）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实质性格式</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标记为“实质性格式”的文件均按招标文件要求提供；除前面已提供的实质性格式文件以外，</w:t>
            </w:r>
            <w:r>
              <w:rPr>
                <w:rFonts w:hint="eastAsia" w:ascii="仿宋" w:hAnsi="仿宋" w:eastAsia="仿宋" w:cs="仿宋"/>
                <w:b/>
                <w:szCs w:val="21"/>
                <w:highlight w:val="none"/>
              </w:rPr>
              <w:t xml:space="preserve">还需提供：合同条款偏离表，采购需求偏离表</w:t>
            </w:r>
            <w:r>
              <w:rPr>
                <w:rFonts w:hint="eastAsia" w:ascii="仿宋" w:hAnsi="仿宋" w:eastAsia="仿宋" w:cs="仿宋"/>
                <w:szCs w:val="21"/>
                <w:highlight w:val="none"/>
              </w:rPr>
              <w:t xml:space="preserve">；</w:t>
            </w:r>
            <w:r>
              <w:rPr>
                <w:rFonts w:hint="eastAsia" w:ascii="仿宋" w:hAnsi="仿宋" w:eastAsia="仿宋" w:cs="仿宋"/>
                <w:szCs w:val="21"/>
                <w:highlight w:val="none"/>
              </w:rPr>
              <w:t xml:space="preserve">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★号条款响应</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投标文件满足招标文件</w:t>
            </w:r>
            <w:r>
              <w:rPr>
                <w:rFonts w:hint="eastAsia" w:ascii="仿宋" w:hAnsi="仿宋" w:eastAsia="仿宋" w:cs="仿宋"/>
                <w:szCs w:val="21"/>
                <w:highlight w:val="none"/>
              </w:rPr>
              <w:t xml:space="preserve">第五章《采购需求》</w:t>
            </w:r>
            <w:r>
              <w:rPr>
                <w:rFonts w:hint="eastAsia" w:ascii="仿宋" w:hAnsi="仿宋" w:eastAsia="仿宋" w:cs="仿宋"/>
                <w:szCs w:val="21"/>
                <w:highlight w:val="none"/>
              </w:rPr>
              <w:t xml:space="preserve">中★号条款要求的；</w:t>
            </w:r>
            <w:r>
              <w:rPr>
                <w:rFonts w:hint="eastAsia" w:ascii="仿宋" w:hAnsi="仿宋" w:eastAsia="仿宋" w:cs="仿宋"/>
                <w:b/>
                <w:szCs w:val="21"/>
                <w:highlight w:val="none"/>
              </w:rPr>
              <w:t xml:space="preserve">如有的，根据列出的实质性条款，按照序号逐项提供相关证明材料；</w:t>
            </w:r>
            <w:r>
              <w:rPr>
                <w:rFonts w:hint="eastAsia" w:ascii="仿宋" w:hAnsi="仿宋" w:eastAsia="仿宋" w:cs="仿宋"/>
                <w:szCs w:val="21"/>
                <w:highlight w:val="none"/>
              </w:rPr>
              <w:t xml:space="preserve">如没有，则无需供应商提供材料。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分包承担主体资质（如有）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分包承担主体具备《供应商须知资料表》载明的资质条件且提供了资质证书电子件（如有）；</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分包意向协议</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按招标文件规定签订并提供分包意向协议原件的电子件的；（如有）格式见《投标文件格式》</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报价的修正（如有）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不涉及报价修正，或投标文件报价出现前后不一致时，供应商对修正后的报价予以确认；（如有）</w:t>
            </w:r>
            <w:r>
              <w:rPr>
                <w:rFonts w:hint="eastAsia" w:ascii="仿宋" w:hAnsi="仿宋" w:eastAsia="仿宋" w:cs="仿宋"/>
                <w:szCs w:val="21"/>
                <w:highlight w:val="none"/>
              </w:rPr>
              <w:t xml:space="preserve">（由评委审查，无需供应商提供材料）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报价合理性</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报价合理，或</w:t>
            </w:r>
            <w:r>
              <w:rPr>
                <w:rFonts w:hint="eastAsia" w:ascii="仿宋" w:hAnsi="仿宋" w:eastAsia="仿宋" w:cs="仿宋"/>
                <w:szCs w:val="21"/>
                <w:highlight w:val="none"/>
              </w:rPr>
              <w:t xml:space="preserve">供应商的报价明显低于其他通过符合性审查供应商的报价，有可能影响产品质量或者不能诚信履约的，能够应评标委员会要求在规定时间内证明其报价合理性的</w:t>
            </w:r>
            <w:r>
              <w:rPr>
                <w:rFonts w:hint="eastAsia" w:ascii="仿宋" w:hAnsi="仿宋" w:eastAsia="仿宋" w:cs="仿宋"/>
                <w:szCs w:val="21"/>
                <w:highlight w:val="none"/>
              </w:rPr>
              <w:t xml:space="preserve">；</w:t>
            </w:r>
            <w:r>
              <w:rPr>
                <w:rFonts w:hint="eastAsia" w:ascii="仿宋" w:hAnsi="仿宋" w:eastAsia="仿宋" w:cs="仿宋"/>
                <w:szCs w:val="21"/>
                <w:highlight w:val="none"/>
              </w:rPr>
              <w:t xml:space="preserve">（由评委审查，无需供应商提供材料）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13</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进口产品</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（如有）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招标文件不接受进口产品投标的内容时，供应商所投产品非进口产品的；（由评委审查，无需供应商提供材料）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14</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国家有关部门对供应商的投标产品有强制性规定或要求的</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国家有关部门对供应商的投标产品有强制性规定或要求的（如相应技术、安全、节能和环保等），供应商的投标产品应符合相应规定或要求，并提供证明文件电子件：</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2）投标产品如涉及计算机信息系统安全专用产品的，须提供公安部颁发的计算机信息系统安全专用产品销售许可证；</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15</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绿色包装要求</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采购的货物如涉及数据中心相关设备、运维服务的，应当有利于节约能源、环境保护和资源循环利用，符合【财政部 生态环境部 工业和信息化部关于印发《绿色数据中心政府采购需求标准（试行）》的通知】（ 财库〔2023〕7号）要求。</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16</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公平竞争</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供应商遵循公平竞争的原则，不存在恶意串通，妨碍其他供应商的竞争行为，不存在损害采购人或者其他供应商的合法权益情形的；（由评委审查，无需供应商提供材料）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17</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串通投标</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18</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附加条件</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投标文件未含有采购人不能接受的附加条件的；</w:t>
            </w:r>
            <w:r>
              <w:rPr>
                <w:rFonts w:hint="eastAsia" w:ascii="仿宋" w:hAnsi="仿宋" w:eastAsia="仿宋" w:cs="仿宋"/>
                <w:szCs w:val="21"/>
                <w:highlight w:val="none"/>
              </w:rPr>
              <w:t xml:space="preserve">（由评委审查，无需供应商提供材料）</w:t>
            </w:r>
            <w:r/>
          </w:p>
        </w:tc>
      </w:tr>
      <w:tr>
        <w:trPr>
          <w:jc w:val="center"/>
          <w:trHeight w:val="685"/>
        </w:trPr>
        <w:tc>
          <w:tcPr>
            <w:tcW w:w="3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19</w:t>
            </w:r>
            <w:r/>
          </w:p>
        </w:tc>
        <w:tc>
          <w:tcPr>
            <w:tcW w:w="112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其他无效情形</w:t>
            </w:r>
            <w:r/>
          </w:p>
        </w:tc>
        <w:tc>
          <w:tcPr>
            <w:tcW w:w="3518"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供应商、投标文件不存在不符合法律、法规和招标文件规定的其他无效情形。（由评委审查，无需供应商提供材料）</w:t>
            </w:r>
            <w:r/>
          </w:p>
        </w:tc>
      </w:tr>
    </w:tbl>
    <w:p>
      <w:pPr>
        <w:pStyle w:val="1202"/>
        <w:rPr>
          <w:rFonts w:hint="eastAsia" w:ascii="仿宋" w:hAnsi="仿宋" w:eastAsia="仿宋" w:cs="仿宋"/>
          <w:highlight w:val="none"/>
        </w:rPr>
        <w:sectPr>
          <w:headerReference w:type="even" r:id="rId13"/>
          <w:headerReference w:type="first" r:id="rId14"/>
          <w:footerReference w:type="default" r:id="rId24"/>
          <w:footerReference w:type="even" r:id="rId25"/>
          <w:footerReference w:type="first" r:id="rId26"/>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仿宋" w:hAnsi="仿宋" w:eastAsia="仿宋" w:cs="仿宋"/>
          <w:highlight w:val="none"/>
        </w:rPr>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2.投标文件有关事项的澄清或者说明</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2.1评标过程中，评标委员会将通过“苏采云”政府采购一体化平台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★2.2异常低价投标(响应)审查:</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2.2.1评审过程中出现下列情形之一的，评标委员会应当启动异常低价投标(响应)审查程序:</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（1）投标（响应）报价低于全部通过符合性审查的投标人投标（响应）报价平均值50%的，即投标（响应）报价&lt;全部通过符合性审查投标人投标（响应）报价平均值×50%；</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（2）投标（响应）报价低于通过符合性审查的次低报价投标人投标（响应）报价50%的，即投标（响应）报价&lt;通过符合性审查的次低报价投标人投标（响应）报价×50%；</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（3）投标（响应）报价低于采购项目最高限价45%的，即投标（响应）报价&lt;采购项目最高限价×45%；</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（4）评标委员会基于专业判断，认为投标人报价过低，有可能影响产品质量或者不能诚信履约的其他情形。</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2.2.2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审查相关情况应当在评审报告中进行记录。</w:t>
      </w:r>
      <w:r/>
    </w:p>
    <w:p>
      <w:pPr>
        <w:pStyle w:val="1278"/>
        <w:ind w:firstLine="422"/>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如涉嫌恶意竞争,扰乱市场秩序的，投标人自行承担由此而产生的任何法律责任。招标人、代理机构对此不承担任何责任。若投标人不能证明其报价合理性，评标委员会将其作为无效投标处理。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2.3投标报价须包含招标文件全部内容，如投标分项报价表有缺漏视为已含在其他各项报价中，将不对投标总价进行调整。评标委员会有权要求供应商在规定的时间内对此进行书面确认，供应商不确认的，视为将一个采购包中的内容拆开投标，其投标无效。</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2.4投标文件报价出现前后不一致的，按照下列规定修正：</w:t>
      </w:r>
      <w:r/>
    </w:p>
    <w:p>
      <w:pPr>
        <w:pStyle w:val="1278"/>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2.4.1招标文件对于报价修正是否另有规定：无，按下述2.4.2-2.4.7项规定修正。</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2.4.2单独递交的开标一览表（报价表）与投标文件中开标一览表（报价表）内容不一致的，以单独递交的开标一览表（报价表）为准；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2.4.3投标文件中开标一览表（报价表）内容与投标文件中相应内容不一致的，以开标一览表（报价表）为准；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2.4.4大写金额和小写金额不一致的，以大写金额为准；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2.4.5单价金额小数点或者百分比有明显错位的，以开标一览表的总价为准，并修改单价；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2.4.6总价金额与按单价汇总金额不一致的，以单价金额计算结果为准。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2.4.7同时出现两种以上不一致的，按照前款规定的顺序修正。修正后的报价经供应商书面确认后产生约束力，供应商不确认的，其投标无效。</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2.5落实政府采购政策的价格调整：只有符合第二章《供应商须知》5.2条规定情形的，可以享受中小企业扶持政策，用扣除后的价格参加评审；</w:t>
      </w:r>
      <w:r>
        <w:rPr>
          <w:rFonts w:hint="eastAsia" w:ascii="仿宋" w:hAnsi="仿宋" w:eastAsia="仿宋" w:cs="仿宋"/>
          <w:b/>
          <w:bCs/>
          <w:sz w:val="21"/>
          <w:szCs w:val="21"/>
          <w:highlight w:val="none"/>
        </w:rPr>
        <w:t xml:space="preserve">如为专门面向中小企业采购的项目，不再执行价格评审优惠的扶持政策，</w:t>
      </w:r>
      <w:r>
        <w:rPr>
          <w:rFonts w:hint="eastAsia" w:ascii="仿宋" w:hAnsi="仿宋" w:eastAsia="仿宋" w:cs="仿宋"/>
          <w:sz w:val="21"/>
          <w:szCs w:val="21"/>
          <w:highlight w:val="none"/>
        </w:rPr>
        <w:t xml:space="preserve">评标时价格不予扣除。</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2.5.1</w:t>
      </w:r>
      <w:r>
        <w:rPr>
          <w:rFonts w:hint="eastAsia" w:ascii="仿宋" w:hAnsi="仿宋" w:eastAsia="仿宋" w:cs="仿宋"/>
          <w:b/>
          <w:bCs/>
          <w:sz w:val="21"/>
          <w:szCs w:val="21"/>
          <w:highlight w:val="none"/>
        </w:rPr>
        <w:t xml:space="preserve">对于未预留份额专门面向中小企业采购的采购项目，以及预留份额项目中的非预留部分采购包，对小微企业报价给予20%的扣除</w:t>
      </w:r>
      <w:r>
        <w:rPr>
          <w:rFonts w:hint="eastAsia" w:ascii="仿宋" w:hAnsi="仿宋" w:eastAsia="仿宋" w:cs="仿宋"/>
          <w:sz w:val="21"/>
          <w:szCs w:val="21"/>
          <w:highlight w:val="none"/>
        </w:rPr>
        <w:t xml:space="preserve">，用扣除后的价格参加评审。</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2.5.3组成联合体或者接受分包的小微企业与联合体内其他企业、分包企业之间存在直接控股、管理关系的，不享受价格扣除优惠政策。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2.5.4价格扣除比例对小型企业和微型企业同等对待，不作区分。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2.5.5中小企业参加政府采购活动，应当按照招标文件给定的格式出具《中小企业声明函》，否则不得享受相关中小企业扶持政策。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2.5.6监狱企业提供了由省级以上监狱管理局（常州市含教育矫治局）、戒毒管理局（含新疆生产建设兵团）出具的属于监狱企业的证明文件的，视同小微企业。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2.5.7残疾人福利性单位按招标文件要求提供了《残疾人福利性单位声明函》（见附件）的，视同小微企业。</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2.5.8若供应商同时属于小型或微型企业、监狱企业、残疾人福利性单位中的两种及以上，将不重复享受小微企业价格扣减的优惠政策。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2.5.9采购本国产品的支持政策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2.5.9.1本项目政府采购活动中既有本国产品又有非本国产品参与竞争的，依法对本国产品给予价格评审优惠，对本国产品的报价给予20%的价格扣除，用扣除后的价格参与评审。</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2.5.9.2当采购项目或者采购包中含有多种产品，供应商为该采购项目或者采购包提供的符合本国产品标准的产品成本之和占该供应商提供的全部产品成本之和的比例</w:t>
      </w:r>
      <w:r>
        <w:rPr>
          <w:rFonts w:hint="eastAsia" w:ascii="仿宋" w:hAnsi="仿宋" w:eastAsia="仿宋" w:cs="仿宋"/>
          <w:b/>
          <w:bCs/>
          <w:sz w:val="21"/>
          <w:szCs w:val="21"/>
          <w:highlight w:val="none"/>
        </w:rPr>
        <w:t xml:space="preserve">达到80%</w:t>
      </w:r>
      <w:r>
        <w:rPr>
          <w:rFonts w:hint="eastAsia" w:ascii="仿宋" w:hAnsi="仿宋" w:eastAsia="仿宋" w:cs="仿宋"/>
          <w:sz w:val="21"/>
          <w:szCs w:val="21"/>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w:t>
      </w:r>
      <w:r>
        <w:rPr>
          <w:rFonts w:hint="eastAsia" w:ascii="仿宋" w:hAnsi="仿宋" w:eastAsia="仿宋" w:cs="仿宋"/>
          <w:b/>
          <w:bCs/>
          <w:sz w:val="21"/>
          <w:szCs w:val="21"/>
          <w:highlight w:val="none"/>
        </w:rPr>
        <w:t xml:space="preserve">未达到80%</w:t>
      </w:r>
      <w:r>
        <w:rPr>
          <w:rFonts w:hint="eastAsia" w:ascii="仿宋" w:hAnsi="仿宋" w:eastAsia="仿宋" w:cs="仿宋"/>
          <w:sz w:val="21"/>
          <w:szCs w:val="21"/>
          <w:highlight w:val="none"/>
        </w:rPr>
        <w:t xml:space="preserve">的，将不享受本国产品价格评审优惠。</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2.5.9.3供应商需按照招标文件的要求提供《关于符合本国产品标准的声明函》（以下简称《声明函》），如不提供将不享受本国产品价格评审优惠。</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3.投标文件的比较和评价</w:t>
      </w:r>
      <w:bookmarkEnd w:id="732"/>
      <w:r/>
      <w:bookmarkEnd w:id="733"/>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3.2评标方法和评标标准</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3.2.1本项目采用的评标方法为：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■综合评分法，指投标文件满足招标文件全部实质性要求，且按照评审因素的量化指标评审得分最高的供应商为中标候选人的评标方法，见《评标标准》，招标文件中没有规定的评标标准不得作为评审的依据。</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□最低评标价法，指投标文件满足招标文件全部实质性要求，且投标报价最低的供应商为中标候选人的评标方法。</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3.2.2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投标无效。</w:t>
      </w:r>
      <w:r/>
    </w:p>
    <w:p>
      <w:pPr>
        <w:pStyle w:val="1278"/>
        <w:ind w:firstLine="420"/>
        <w:spacing w:line="360" w:lineRule="auto"/>
        <w:rPr>
          <w:rFonts w:hint="eastAsia" w:ascii="仿宋" w:hAnsi="仿宋" w:eastAsia="仿宋" w:cs="仿宋"/>
          <w:sz w:val="21"/>
          <w:szCs w:val="21"/>
          <w:highlight w:val="none"/>
        </w:rPr>
      </w:pPr>
      <w:r/>
      <w:bookmarkStart w:id="749" w:name="_Hlk107696993"/>
      <w:r>
        <w:rPr>
          <w:rFonts w:hint="eastAsia" w:ascii="仿宋" w:hAnsi="仿宋" w:eastAsia="仿宋" w:cs="仿宋"/>
          <w:sz w:val="21"/>
          <w:szCs w:val="21"/>
          <w:highlight w:val="none"/>
        </w:rPr>
        <w:t xml:space="preserve">■随机抽取</w:t>
      </w:r>
      <w:bookmarkEnd w:id="749"/>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□其他方式，具体要求：_____</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3.2.3非政府强制采购的节能产品或环境标志产品，依据品目清单和认证证书实施政府优先采购。优先采购的具体规定（如涉及）</w:t>
      </w:r>
      <w:r>
        <w:rPr>
          <w:rFonts w:hint="eastAsia" w:ascii="仿宋" w:hAnsi="仿宋" w:eastAsia="仿宋" w:cs="仿宋"/>
          <w:sz w:val="21"/>
          <w:szCs w:val="21"/>
          <w:highlight w:val="none"/>
          <w:u w:val="single"/>
        </w:rPr>
        <w:t xml:space="preserve">见评标标准相关评分项</w:t>
      </w:r>
      <w:r>
        <w:rPr>
          <w:rFonts w:hint="eastAsia" w:ascii="仿宋" w:hAnsi="仿宋" w:eastAsia="仿宋" w:cs="仿宋"/>
          <w:sz w:val="21"/>
          <w:szCs w:val="21"/>
          <w:highlight w:val="none"/>
        </w:rPr>
        <w:t xml:space="preserve">。</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3.2.4关于无线局域网认证产品政府采购清单中的产品，优先采购的具体规定（如涉及）</w:t>
      </w:r>
      <w:r>
        <w:rPr>
          <w:rFonts w:hint="eastAsia" w:ascii="仿宋" w:hAnsi="仿宋" w:eastAsia="仿宋" w:cs="仿宋"/>
          <w:sz w:val="21"/>
          <w:szCs w:val="21"/>
          <w:highlight w:val="none"/>
          <w:u w:val="single"/>
        </w:rPr>
        <w:t xml:space="preserve">见评标标准相关评分项</w:t>
      </w:r>
      <w:r>
        <w:rPr>
          <w:rFonts w:hint="eastAsia" w:ascii="仿宋" w:hAnsi="仿宋" w:eastAsia="仿宋" w:cs="仿宋"/>
          <w:sz w:val="21"/>
          <w:szCs w:val="21"/>
          <w:highlight w:val="none"/>
        </w:rPr>
        <w:t xml:space="preserve">。</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4.确定</w:t>
      </w:r>
      <w:bookmarkStart w:id="750" w:name="_Toc226965736"/>
      <w:r/>
      <w:bookmarkStart w:id="751" w:name="_Toc149720839"/>
      <w:r/>
      <w:bookmarkStart w:id="752" w:name="_Toc164608815"/>
      <w:r/>
      <w:bookmarkStart w:id="753" w:name="_Toc264969236"/>
      <w:r/>
      <w:bookmarkStart w:id="754" w:name="_Toc151190173"/>
      <w:r/>
      <w:bookmarkStart w:id="755" w:name="_Ref467307010"/>
      <w:r/>
      <w:bookmarkStart w:id="756" w:name="_Toc127161460"/>
      <w:r/>
      <w:bookmarkStart w:id="757" w:name="_Toc226337242"/>
      <w:r/>
      <w:bookmarkStart w:id="758" w:name="_Toc520356170"/>
      <w:r/>
      <w:bookmarkStart w:id="759" w:name="_Toc195842911"/>
      <w:r/>
      <w:bookmarkStart w:id="760" w:name="_Toc151193788"/>
      <w:r/>
      <w:bookmarkStart w:id="761" w:name="_Toc164229241"/>
      <w:r/>
      <w:bookmarkStart w:id="762" w:name="_Toc150774646"/>
      <w:r/>
      <w:bookmarkStart w:id="763" w:name="_Toc164229387"/>
      <w:r/>
      <w:bookmarkStart w:id="764" w:name="_Toc151193644"/>
      <w:r/>
      <w:bookmarkStart w:id="765" w:name="_Toc142311048"/>
      <w:r/>
      <w:bookmarkStart w:id="766" w:name="_Toc151193934"/>
      <w:r/>
      <w:bookmarkStart w:id="767" w:name="_Toc150509297"/>
      <w:r/>
      <w:bookmarkStart w:id="768" w:name="_Toc305158814"/>
      <w:r/>
      <w:bookmarkStart w:id="769" w:name="_Toc164608660"/>
      <w:r/>
      <w:bookmarkStart w:id="770" w:name="_Toc226965819"/>
      <w:r/>
      <w:bookmarkStart w:id="771" w:name="_Toc150774751"/>
      <w:r/>
      <w:bookmarkStart w:id="772" w:name="_Toc151193860"/>
      <w:r/>
      <w:bookmarkStart w:id="773" w:name="_Toc265228384"/>
      <w:r/>
      <w:bookmarkStart w:id="774" w:name="_Toc127151747"/>
      <w:r/>
      <w:bookmarkStart w:id="775" w:name="_Toc151193716"/>
      <w:r/>
      <w:bookmarkStart w:id="776" w:name="_Toc226309790"/>
      <w:r/>
      <w:bookmarkStart w:id="777" w:name="_Toc164351640"/>
      <w:r/>
      <w:bookmarkStart w:id="778" w:name="_Toc127151546"/>
      <w:r/>
      <w:bookmarkStart w:id="779" w:name="_Toc305158888"/>
      <w:r/>
      <w:bookmarkStart w:id="780" w:name="_Toc150480784"/>
      <w:r>
        <w:rPr>
          <w:rFonts w:hint="eastAsia" w:ascii="仿宋" w:hAnsi="仿宋" w:eastAsia="仿宋" w:cs="仿宋"/>
          <w:sz w:val="21"/>
          <w:szCs w:val="21"/>
          <w:highlight w:val="none"/>
        </w:rPr>
        <w:t xml:space="preserve">中标候选人名单</w:t>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采用综合评分法时，提供相同品牌产品（单一产品或核心产品品牌相同）且通过资格审查、符合性审查的不同供应商参加同一合同项下投标的，按一家供应商计算，评审后得分最高的同品牌供应商获得中标人推荐资格；评审得分相同的，评标委员会按照下述规定确定一个供应商获得中标人推荐资格，其他同品牌供应商不作为中标候选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■随机抽取</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□其他方式，具体要求：_____</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评分分值计算保留小数点后两位，第三位四舍五入。</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4.3采用最低评标价法时，评标结果按本章2.4、2.5调整后的投标报价由低到高顺序排列。投标报价相同的并列。投标文件满足招标文件全部实质性要求且投标报价最低的供应商为排名第一的中标候选人。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4.4评标委员会要对评分汇总情况进行复核，特别是对排名第一的、报价最低的、投标或投标文件被认定为无效的情形进行重点复核。</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4.5评标委员会将根据各供应商的评标排序，依次推荐本项目（各采购包）的中标候选人，起草并签署评标报告。本项目（各采购包）评标委员会共（各）推荐不少于3名中标候选人。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5.报告违法行为</w:t>
      </w:r>
      <w:r/>
    </w:p>
    <w:p>
      <w:pPr>
        <w:pStyle w:val="1278"/>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5.1评标委员会在评标过程中发现供应商有行贿、提供虚假材料或者串通等违法行为时，有向采购人、采购代理机构或者有关部门报告的职责。</w:t>
      </w:r>
      <w:r/>
    </w:p>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r>
      <w:r/>
    </w:p>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br w:type="page" w:clear="all"/>
      </w:r>
      <w:r>
        <w:rPr>
          <w:rFonts w:hint="eastAsia" w:ascii="仿宋" w:hAnsi="仿宋" w:eastAsia="仿宋" w:cs="仿宋"/>
          <w:b/>
          <w:sz w:val="24"/>
          <w:highlight w:val="none"/>
        </w:rPr>
        <w:t xml:space="preserve">二、评标标准</w:t>
      </w:r>
      <w:r/>
    </w:p>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r>
      <w:r/>
    </w:p>
    <w:tbl>
      <w:tblPr>
        <w:tblStyle w:val="1195"/>
        <w:tblW w:w="9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1280"/>
        <w:gridCol w:w="4920"/>
        <w:gridCol w:w="694"/>
        <w:gridCol w:w="727"/>
        <w:gridCol w:w="793"/>
        <w:gridCol w:w="736"/>
      </w:tblGrid>
      <w:tr>
        <w:trPr>
          <w:jc w:val="center"/>
          <w:tblHeader/>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评审</w:t>
            </w:r>
            <w:r/>
          </w:p>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因素</w:t>
            </w:r>
            <w:r/>
          </w:p>
        </w:tc>
        <w:tc>
          <w:tcPr>
            <w:tcW w:w="4920" w:type="dxa"/>
            <w:vAlign w:val="center"/>
            <w:textDirection w:val="lrTb"/>
            <w:noWrap w:val="false"/>
          </w:tcPr>
          <w:p>
            <w:pPr>
              <w:ind w:firstLine="420"/>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评分标准</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最低分值</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最高分值</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是否暗标评审</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是否客观分</w:t>
            </w:r>
            <w:r/>
          </w:p>
        </w:tc>
      </w:tr>
      <w:tr>
        <w:trPr>
          <w:jc w:val="center"/>
          <w:trHeight w:val="342"/>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价格分</w:t>
            </w:r>
            <w:r/>
          </w:p>
        </w:tc>
        <w:tc>
          <w:tcPr>
            <w:tcW w:w="4920" w:type="dxa"/>
            <w:vAlign w:val="center"/>
            <w:textDirection w:val="lrTb"/>
            <w:noWrap w:val="false"/>
          </w:tcPr>
          <w:p>
            <w:pPr>
              <w:ind w:firstLine="420"/>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30</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1272"/>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价格分</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采用低价优先法计算，即满足招标文件要求且投标价格最低的投标报价为投标基准价，其价格分为满分。其他供应商的价格分统一按照下列公式计算（小数点保留两位）：</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投标报价得分=(投标基准价／投标报价)×30%×100。</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30</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Style w:val="1458"/>
                <w:rFonts w:hint="eastAsia" w:ascii="仿宋" w:hAnsi="仿宋" w:eastAsia="仿宋" w:cs="仿宋"/>
                <w:sz w:val="21"/>
                <w:szCs w:val="21"/>
                <w:highlight w:val="none"/>
              </w:rPr>
              <w:t xml:space="preserve">否</w:t>
            </w:r>
            <w:r/>
          </w:p>
        </w:tc>
      </w:tr>
      <w:tr>
        <w:trPr>
          <w:jc w:val="center"/>
          <w:trHeight w:val="342"/>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w:t>
            </w:r>
            <w:r/>
          </w:p>
        </w:tc>
        <w:tc>
          <w:tcPr>
            <w:tcW w:w="1280" w:type="dxa"/>
            <w:vAlign w:val="center"/>
            <w:textDirection w:val="lrTb"/>
            <w:noWrap w:val="false"/>
          </w:tcPr>
          <w:p>
            <w:pPr>
              <w:jc w:val="center"/>
              <w:spacing w:line="240" w:lineRule="exact"/>
              <w:tabs>
                <w:tab w:val="left" w:pos="577" w:leader="none"/>
              </w:tabs>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技术分（主观分）</w:t>
            </w:r>
            <w:r/>
          </w:p>
        </w:tc>
        <w:tc>
          <w:tcPr>
            <w:tcW w:w="4920" w:type="dxa"/>
            <w:vAlign w:val="center"/>
            <w:textDirection w:val="lrTb"/>
            <w:noWrap w:val="false"/>
          </w:tcPr>
          <w:p>
            <w:pPr>
              <w:jc w:val="left"/>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32</w:t>
            </w:r>
            <w:r/>
          </w:p>
        </w:tc>
        <w:tc>
          <w:tcPr>
            <w:tcW w:w="793" w:type="dxa"/>
            <w:vAlign w:val="center"/>
            <w:textDirection w:val="lrTb"/>
            <w:noWrap w:val="false"/>
          </w:tcPr>
          <w:p>
            <w:pP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r>
            <w:r/>
          </w:p>
        </w:tc>
        <w:tc>
          <w:tcPr>
            <w:tcW w:w="736" w:type="dxa"/>
            <w:vAlign w:val="center"/>
            <w:textDirection w:val="lrTb"/>
            <w:noWrap w:val="false"/>
          </w:tcPr>
          <w:p>
            <w:pP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r>
            <w:r/>
          </w:p>
        </w:tc>
      </w:tr>
      <w:tr>
        <w:trPr>
          <w:jc w:val="center"/>
          <w:trHeight w:val="2260"/>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c>
          <w:tcPr>
            <w:tcW w:w="1280"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项目实施方案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根据供应商提供的</w:t>
            </w:r>
            <w:r>
              <w:rPr>
                <w:rFonts w:hint="eastAsia" w:ascii="仿宋" w:hAnsi="仿宋" w:eastAsia="仿宋" w:cs="仿宋"/>
                <w:szCs w:val="21"/>
                <w:highlight w:val="none"/>
              </w:rPr>
              <w:t xml:space="preserve">项目实施方案</w:t>
            </w:r>
            <w:r>
              <w:rPr>
                <w:rFonts w:hint="eastAsia" w:ascii="仿宋" w:hAnsi="仿宋" w:eastAsia="仿宋" w:cs="仿宋"/>
                <w:szCs w:val="21"/>
                <w:highlight w:val="none"/>
                <w:lang w:val="zh-CN"/>
              </w:rPr>
              <w:t xml:space="preserve">（包含但不限于：采购、</w:t>
            </w:r>
            <w:r>
              <w:rPr>
                <w:rFonts w:hint="eastAsia" w:ascii="仿宋" w:hAnsi="仿宋" w:eastAsia="仿宋" w:cs="仿宋"/>
                <w:szCs w:val="21"/>
                <w:highlight w:val="none"/>
              </w:rPr>
              <w:t xml:space="preserve">运输、安装、进度保障、调试等</w:t>
            </w:r>
            <w:r>
              <w:rPr>
                <w:rFonts w:hint="eastAsia" w:ascii="仿宋" w:hAnsi="仿宋" w:eastAsia="仿宋" w:cs="仿宋"/>
                <w:szCs w:val="21"/>
                <w:highlight w:val="none"/>
                <w:lang w:val="zh-CN"/>
              </w:rPr>
              <w:t xml:space="preserve">）</w:t>
            </w:r>
            <w:r>
              <w:rPr>
                <w:rFonts w:hint="eastAsia" w:ascii="仿宋" w:hAnsi="仿宋" w:eastAsia="仿宋" w:cs="仿宋"/>
                <w:szCs w:val="21"/>
                <w:highlight w:val="none"/>
              </w:rPr>
              <w:t xml:space="preserve">等</w:t>
            </w:r>
            <w:r>
              <w:rPr>
                <w:rFonts w:hint="eastAsia" w:ascii="仿宋" w:hAnsi="仿宋" w:eastAsia="仿宋" w:cs="仿宋"/>
                <w:szCs w:val="21"/>
                <w:highlight w:val="none"/>
                <w:lang w:val="zh-CN"/>
              </w:rPr>
              <w:t xml:space="preserve">进行打分：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以上</w:t>
            </w: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w:t>
            </w:r>
            <w:r>
              <w:rPr>
                <w:rFonts w:hint="eastAsia" w:ascii="仿宋" w:hAnsi="仿宋" w:eastAsia="仿宋" w:cs="仿宋"/>
                <w:szCs w:val="21"/>
                <w:highlight w:val="none"/>
                <w:lang w:val="zh-CN"/>
              </w:rPr>
              <w:t xml:space="preserve">全面详实、安排合理得当、实际可操作性强的得</w:t>
            </w:r>
            <w:r>
              <w:rPr>
                <w:rFonts w:hint="eastAsia" w:ascii="仿宋" w:hAnsi="仿宋" w:eastAsia="仿宋" w:cs="仿宋"/>
                <w:szCs w:val="21"/>
                <w:highlight w:val="none"/>
              </w:rPr>
              <w:t xml:space="preserve">7</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内容较</w:t>
            </w:r>
            <w:r>
              <w:rPr>
                <w:rFonts w:hint="eastAsia" w:ascii="仿宋" w:hAnsi="仿宋" w:eastAsia="仿宋" w:cs="仿宋"/>
                <w:szCs w:val="21"/>
                <w:highlight w:val="none"/>
                <w:lang w:val="zh-CN"/>
              </w:rPr>
              <w:t xml:space="preserve">全面、安排较合理、实际可操作性</w:t>
            </w:r>
            <w:r>
              <w:rPr>
                <w:rFonts w:hint="eastAsia" w:ascii="仿宋" w:hAnsi="仿宋" w:eastAsia="仿宋" w:cs="仿宋"/>
                <w:szCs w:val="21"/>
                <w:highlight w:val="none"/>
              </w:rPr>
              <w:t xml:space="preserve">一般</w:t>
            </w:r>
            <w:r>
              <w:rPr>
                <w:rFonts w:hint="eastAsia" w:ascii="仿宋" w:hAnsi="仿宋" w:eastAsia="仿宋" w:cs="仿宋"/>
                <w:szCs w:val="21"/>
                <w:highlight w:val="none"/>
                <w:lang w:val="zh-CN"/>
              </w:rPr>
              <w:t xml:space="preserve">的得</w:t>
            </w:r>
            <w:r>
              <w:rPr>
                <w:rFonts w:hint="eastAsia" w:ascii="仿宋" w:hAnsi="仿宋" w:eastAsia="仿宋" w:cs="仿宋"/>
                <w:szCs w:val="21"/>
                <w:highlight w:val="none"/>
              </w:rPr>
              <w:t xml:space="preserve">5</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内容有缺失</w:t>
            </w:r>
            <w:r>
              <w:rPr>
                <w:rFonts w:hint="eastAsia" w:ascii="仿宋" w:hAnsi="仿宋" w:eastAsia="仿宋" w:cs="仿宋"/>
                <w:szCs w:val="21"/>
                <w:highlight w:val="none"/>
                <w:lang w:val="zh-CN"/>
              </w:rPr>
              <w:t xml:space="preserve">、安排</w:t>
            </w:r>
            <w:r>
              <w:rPr>
                <w:rFonts w:hint="eastAsia" w:ascii="仿宋" w:hAnsi="仿宋" w:eastAsia="仿宋" w:cs="仿宋"/>
                <w:szCs w:val="21"/>
                <w:highlight w:val="none"/>
              </w:rPr>
              <w:t xml:space="preserve">一般</w:t>
            </w:r>
            <w:r>
              <w:rPr>
                <w:rFonts w:hint="eastAsia" w:ascii="仿宋" w:hAnsi="仿宋" w:eastAsia="仿宋" w:cs="仿宋"/>
                <w:szCs w:val="21"/>
                <w:highlight w:val="none"/>
                <w:lang w:val="zh-CN"/>
              </w:rPr>
              <w:t xml:space="preserve">、可操作性</w:t>
            </w:r>
            <w:r>
              <w:rPr>
                <w:rFonts w:hint="eastAsia" w:ascii="仿宋" w:hAnsi="仿宋" w:eastAsia="仿宋" w:cs="仿宋"/>
                <w:szCs w:val="21"/>
                <w:highlight w:val="none"/>
              </w:rPr>
              <w:t xml:space="preserve">不高</w:t>
            </w:r>
            <w:r>
              <w:rPr>
                <w:rFonts w:hint="eastAsia" w:ascii="仿宋" w:hAnsi="仿宋" w:eastAsia="仿宋" w:cs="仿宋"/>
                <w:szCs w:val="21"/>
                <w:highlight w:val="none"/>
                <w:lang w:val="zh-CN"/>
              </w:rPr>
              <w:t xml:space="preserve">的得</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方案内容简单、针对性不强的，得3分。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r>
      <w:tr>
        <w:trPr>
          <w:jc w:val="center"/>
          <w:trHeight w:val="1829"/>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2.2</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质量保证方案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根据供应商提供的质量保证方案（包含但不限于：节能环保、</w:t>
            </w:r>
            <w:r>
              <w:rPr>
                <w:rFonts w:hint="eastAsia" w:ascii="仿宋" w:hAnsi="仿宋" w:eastAsia="仿宋" w:cs="仿宋"/>
                <w:szCs w:val="21"/>
                <w:highlight w:val="none"/>
              </w:rPr>
              <w:t xml:space="preserve">产品质量、安全性能、安装质量保证等方面）</w:t>
            </w:r>
            <w:r>
              <w:rPr>
                <w:rFonts w:hint="eastAsia" w:ascii="仿宋" w:hAnsi="仿宋" w:eastAsia="仿宋" w:cs="仿宋"/>
                <w:szCs w:val="21"/>
                <w:highlight w:val="none"/>
              </w:rPr>
              <w:t xml:space="preserve">的完整性、全面性、科学性、合理性进行打分：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rPr>
              <w:t xml:space="preserve">以上</w:t>
            </w: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w:t>
            </w:r>
            <w:r>
              <w:rPr>
                <w:rFonts w:hint="eastAsia" w:ascii="仿宋" w:hAnsi="仿宋" w:eastAsia="仿宋" w:cs="仿宋"/>
                <w:szCs w:val="21"/>
                <w:highlight w:val="none"/>
                <w:lang w:val="zh-CN"/>
              </w:rPr>
              <w:t xml:space="preserve">全面详实、安排合理得当、实际可操作性强的得</w:t>
            </w:r>
            <w:r>
              <w:rPr>
                <w:rFonts w:hint="eastAsia" w:ascii="仿宋" w:hAnsi="仿宋" w:eastAsia="仿宋" w:cs="仿宋"/>
                <w:szCs w:val="21"/>
                <w:highlight w:val="none"/>
              </w:rPr>
              <w:t xml:space="preserve">4</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内容较</w:t>
            </w:r>
            <w:r>
              <w:rPr>
                <w:rFonts w:hint="eastAsia" w:ascii="仿宋" w:hAnsi="仿宋" w:eastAsia="仿宋" w:cs="仿宋"/>
                <w:szCs w:val="21"/>
                <w:highlight w:val="none"/>
                <w:lang w:val="zh-CN"/>
              </w:rPr>
              <w:t xml:space="preserve">全面、安排较合理、实际可操作性</w:t>
            </w:r>
            <w:r>
              <w:rPr>
                <w:rFonts w:hint="eastAsia" w:ascii="仿宋" w:hAnsi="仿宋" w:eastAsia="仿宋" w:cs="仿宋"/>
                <w:szCs w:val="21"/>
                <w:highlight w:val="none"/>
              </w:rPr>
              <w:t xml:space="preserve">一般</w:t>
            </w:r>
            <w:r>
              <w:rPr>
                <w:rFonts w:hint="eastAsia" w:ascii="仿宋" w:hAnsi="仿宋" w:eastAsia="仿宋" w:cs="仿宋"/>
                <w:szCs w:val="21"/>
                <w:highlight w:val="none"/>
                <w:lang w:val="zh-CN"/>
              </w:rPr>
              <w:t xml:space="preserve">的得</w:t>
            </w:r>
            <w:r>
              <w:rPr>
                <w:rFonts w:hint="eastAsia" w:ascii="仿宋" w:hAnsi="仿宋" w:eastAsia="仿宋" w:cs="仿宋"/>
                <w:szCs w:val="21"/>
                <w:highlight w:val="none"/>
              </w:rPr>
              <w:t xml:space="preserve">2</w:t>
            </w:r>
            <w:r>
              <w:rPr>
                <w:rFonts w:hint="eastAsia" w:ascii="仿宋" w:hAnsi="仿宋" w:eastAsia="仿宋" w:cs="仿宋"/>
                <w:szCs w:val="21"/>
                <w:highlight w:val="none"/>
                <w:lang w:val="zh-CN"/>
              </w:rPr>
              <w:t xml:space="preserve">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方案内容简单、针对性不强的，得1分。</w:t>
            </w:r>
            <w:r/>
          </w:p>
          <w:p>
            <w:pPr>
              <w:jc w:val="left"/>
              <w:spacing w:line="240" w:lineRule="exact"/>
              <w:rPr>
                <w:rFonts w:hint="eastAsia" w:ascii="仿宋" w:hAnsi="仿宋" w:eastAsia="仿宋" w:cs="仿宋"/>
                <w:szCs w:val="21"/>
                <w:highlight w:val="none"/>
                <w:lang w:val="zh-CN"/>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4</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r>
      <w:tr>
        <w:trPr>
          <w:jc w:val="center"/>
          <w:trHeight w:val="523"/>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2.3</w:t>
            </w:r>
            <w:r/>
          </w:p>
        </w:tc>
        <w:tc>
          <w:tcPr>
            <w:tcW w:w="1280"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重点、难点分析及合理化建议</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对本项目实施的重点难点的认识分析是否准确，解决的措施及合理化建议是否完整、合理、可行进行综合打分：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方案具体详细全面、可操作性强且符合本项目要求的得7分；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方案可操作性较好、可行性较好，较有针对性的得5分；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方案可操作性、可行性较普通，针对性欠佳得4分；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方案较差，并不明确、无针对性的得3分；</w:t>
            </w:r>
            <w:r/>
          </w:p>
          <w:p>
            <w:pPr>
              <w:jc w:val="left"/>
              <w:spacing w:line="240" w:lineRule="exact"/>
              <w:rPr>
                <w:rFonts w:hint="eastAsia" w:ascii="仿宋" w:hAnsi="仿宋" w:eastAsia="仿宋" w:cs="仿宋"/>
                <w:szCs w:val="21"/>
                <w:highlight w:val="none"/>
                <w:lang w:bidi="ar"/>
              </w:rPr>
            </w:pPr>
            <w:r>
              <w:rPr>
                <w:rFonts w:hint="eastAsia" w:ascii="仿宋" w:hAnsi="仿宋" w:eastAsia="仿宋" w:cs="仿宋"/>
                <w:szCs w:val="21"/>
                <w:highlight w:val="none"/>
                <w:lang w:val="zh-CN" w:bidi="ar"/>
              </w:rPr>
              <w:t xml:space="preserve">不提供</w:t>
            </w:r>
            <w:r>
              <w:rPr>
                <w:rFonts w:hint="eastAsia" w:ascii="仿宋" w:hAnsi="仿宋" w:eastAsia="仿宋" w:cs="仿宋"/>
                <w:szCs w:val="21"/>
                <w:highlight w:val="none"/>
                <w:lang w:val="zh-CN"/>
              </w:rPr>
              <w:t xml:space="preserve">不得分</w:t>
            </w:r>
            <w:r>
              <w:rPr>
                <w:rFonts w:hint="eastAsia" w:ascii="仿宋" w:hAnsi="仿宋" w:eastAsia="仿宋" w:cs="仿宋"/>
                <w:szCs w:val="21"/>
                <w:highlight w:val="none"/>
                <w:lang w:bidi="ar"/>
              </w:rPr>
              <w:t xml:space="preserve">。</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r>
      <w:tr>
        <w:trPr>
          <w:jc w:val="center"/>
          <w:trHeight w:val="164"/>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2.4</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试运行及培训方案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根据供应商提供的试运行及培训方案：包含但不限于协助采购人试运行的期限、试运行方案、对采购人相关人员培训步骤、培训计划、培训内容、培训形式、培训记录表等进行打分：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以上</w:t>
            </w:r>
            <w:r>
              <w:rPr>
                <w:rFonts w:hint="eastAsia" w:ascii="仿宋" w:hAnsi="仿宋" w:eastAsia="仿宋" w:cs="仿宋"/>
                <w:szCs w:val="21"/>
                <w:highlight w:val="none"/>
                <w:lang w:val="zh-CN"/>
              </w:rPr>
              <w:t xml:space="preserve">方案</w:t>
            </w:r>
            <w:r>
              <w:rPr>
                <w:rFonts w:hint="eastAsia" w:ascii="仿宋" w:hAnsi="仿宋" w:eastAsia="仿宋" w:cs="仿宋"/>
                <w:szCs w:val="21"/>
                <w:highlight w:val="none"/>
              </w:rPr>
              <w:t xml:space="preserve">内容全面详实、安排合理得当、实际可操作性强的得7分；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方案内容较全面、安排较合理、实际可操作性一般的得5分；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方案内容有缺失、安排一般、</w:t>
            </w:r>
            <w:r>
              <w:rPr>
                <w:rFonts w:hint="eastAsia" w:ascii="仿宋" w:hAnsi="仿宋" w:eastAsia="仿宋" w:cs="仿宋"/>
                <w:szCs w:val="21"/>
                <w:highlight w:val="none"/>
                <w:lang w:val="zh-CN"/>
              </w:rPr>
              <w:t xml:space="preserve">可操作性</w:t>
            </w:r>
            <w:r>
              <w:rPr>
                <w:rFonts w:hint="eastAsia" w:ascii="仿宋" w:hAnsi="仿宋" w:eastAsia="仿宋" w:cs="仿宋"/>
                <w:szCs w:val="21"/>
                <w:highlight w:val="none"/>
              </w:rPr>
              <w:t xml:space="preserve">不高的得4分；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方案内容简单、针对性不强的，得3分。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7</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r>
      <w:tr>
        <w:trPr>
          <w:jc w:val="center"/>
          <w:trHeight w:val="3200"/>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2.5</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售后服务方案</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针对本项目实际需求，提供详细的售后服务方案，包含但不限于售后服务机构介绍、售后服务本地化方案、售后服务体系制度、售后服务方式、明确的响应时间、售后人员履历证书、定期维护（修）、保养设施设备计划和措施、突发事件的预案等进行打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1.售后服务体系完善、上述内容涵盖全面并有详细的方案措施、针对性强，可操作性高的得4分；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2.售后服务体系基本完善、上述内容基本无缺失但未提出具体的方案措施、针对性和可操作性一般的得2分；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3.售后服务体系内容缺失，未提出针对性或可操作性的方案措施得1分；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4</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Style w:val="1458"/>
                <w:rFonts w:hint="eastAsia" w:ascii="仿宋" w:hAnsi="仿宋" w:eastAsia="仿宋" w:cs="仿宋"/>
                <w:sz w:val="21"/>
                <w:szCs w:val="21"/>
                <w:highlight w:val="none"/>
              </w:rPr>
              <w:t xml:space="preserve">否</w:t>
            </w:r>
            <w:r/>
          </w:p>
        </w:tc>
      </w:tr>
      <w:tr>
        <w:trPr>
          <w:jc w:val="center"/>
          <w:trHeight w:val="2559"/>
        </w:trPr>
        <w:tc>
          <w:tcPr>
            <w:tcW w:w="639"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2.6</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质保期满后收费及维保配合服务</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针对供应商提供的包含但不限于质保期满后的零配件和维修备品备件的收费、耗材的通用性、应急维修方案、维保收费、售后服务标准、方案等进行打分：</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1.服务体系完善、上述内容涵盖全面并有详细的方案措施、针对性强，可操作性高的得3分；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2.服务体系基本完善、上述内容基本无缺失但未提出具体的方案措施、针对性和可操作性一般的得2分；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3.服务体系内容缺失，未提出针对性或可操作性的方案措施得1分； </w:t>
            </w:r>
            <w:r/>
          </w:p>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lang w:val="zh-CN"/>
              </w:rPr>
              <w:t xml:space="preserve">不提供不得分。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3</w:t>
            </w:r>
            <w:r/>
          </w:p>
        </w:tc>
        <w:tc>
          <w:tcPr>
            <w:tcW w:w="793" w:type="dxa"/>
            <w:vAlign w:val="center"/>
            <w:textDirection w:val="lrTb"/>
            <w:noWrap w:val="false"/>
          </w:tcPr>
          <w:p>
            <w:pPr>
              <w:jc w:val="center"/>
              <w:spacing w:line="240" w:lineRule="exact"/>
              <w:rPr>
                <w:rStyle w:val="1458"/>
                <w:rFonts w:hint="eastAsia" w:ascii="仿宋" w:hAnsi="仿宋" w:eastAsia="仿宋" w:cs="仿宋"/>
                <w:sz w:val="21"/>
                <w:szCs w:val="21"/>
                <w:highlight w:val="none"/>
              </w:rPr>
            </w:pPr>
            <w:r>
              <w:rPr>
                <w:rStyle w:val="1458"/>
                <w:rFonts w:hint="eastAsia" w:ascii="仿宋" w:hAnsi="仿宋" w:eastAsia="仿宋" w:cs="仿宋"/>
                <w:sz w:val="21"/>
                <w:szCs w:val="21"/>
                <w:highlight w:val="none"/>
              </w:rPr>
              <w:t xml:space="preserve">否</w:t>
            </w:r>
            <w:r/>
          </w:p>
        </w:tc>
        <w:tc>
          <w:tcPr>
            <w:tcW w:w="736" w:type="dxa"/>
            <w:vAlign w:val="center"/>
            <w:textDirection w:val="lrTb"/>
            <w:noWrap w:val="false"/>
          </w:tcPr>
          <w:p>
            <w:pPr>
              <w:jc w:val="center"/>
              <w:spacing w:line="240" w:lineRule="exact"/>
              <w:rPr>
                <w:rStyle w:val="1458"/>
                <w:rFonts w:hint="eastAsia" w:ascii="仿宋" w:hAnsi="仿宋" w:eastAsia="仿宋" w:cs="仿宋"/>
                <w:sz w:val="21"/>
                <w:szCs w:val="21"/>
                <w:highlight w:val="none"/>
              </w:rPr>
            </w:pPr>
            <w:r>
              <w:rPr>
                <w:rStyle w:val="1458"/>
                <w:rFonts w:hint="eastAsia" w:ascii="仿宋" w:hAnsi="仿宋" w:eastAsia="仿宋" w:cs="仿宋"/>
                <w:sz w:val="21"/>
                <w:szCs w:val="21"/>
                <w:highlight w:val="none"/>
              </w:rPr>
              <w:t xml:space="preserve">否</w:t>
            </w:r>
            <w:r/>
          </w:p>
        </w:tc>
      </w:tr>
      <w:tr>
        <w:trPr>
          <w:jc w:val="center"/>
          <w:trHeight w:val="367"/>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商务分（客观分）</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38</w:t>
            </w:r>
            <w:r/>
          </w:p>
        </w:tc>
        <w:tc>
          <w:tcPr>
            <w:tcW w:w="793" w:type="dxa"/>
            <w:vAlign w:val="center"/>
            <w:textDirection w:val="lrTb"/>
            <w:noWrap w:val="false"/>
          </w:tcPr>
          <w:p>
            <w:pPr>
              <w:ind w:firstLine="643"/>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c>
          <w:tcPr>
            <w:tcW w:w="736" w:type="dxa"/>
            <w:vAlign w:val="center"/>
            <w:textDirection w:val="lrTb"/>
            <w:noWrap w:val="false"/>
          </w:tcPr>
          <w:p>
            <w:pPr>
              <w:ind w:firstLine="643"/>
              <w:spacing w:line="240" w:lineRule="exact"/>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435"/>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3.1</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产品技术响应</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对供应商所投产品的功能参数、配置、性能是否符合或优于招标文件要求进行评价，若全部符合或优于招标文件要求的，得19分；每有一项负偏离扣1.5分，分数扣完为止。</w:t>
            </w:r>
            <w:r/>
          </w:p>
          <w:p>
            <w:pPr>
              <w:pStyle w:val="1371"/>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w:t>
            </w:r>
            <w:r/>
          </w:p>
          <w:p>
            <w:pPr>
              <w:pStyle w:val="1371"/>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1.在投标文件中提供能体现技术参数的相关证明材料或承诺函同时应用明显的标记指出证明材料中对应的内容描述：</w:t>
            </w:r>
            <w:r/>
          </w:p>
          <w:p>
            <w:pPr>
              <w:pStyle w:val="1371"/>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（1）相关证明材料包括不限于：国家认可的第三方检测机构出具的检测报告，产品样本或技术说明书，功能截图，制造商（经销商）出具的技术证明文件等。</w:t>
            </w:r>
            <w:r/>
          </w:p>
          <w:p>
            <w:pPr>
              <w:pStyle w:val="1371"/>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（2）证明材料中描述不一致但功能实质相同的视为满足评审要求。</w:t>
            </w:r>
            <w:r/>
          </w:p>
          <w:p>
            <w:pPr>
              <w:pStyle w:val="1371"/>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（3）承诺函格式自拟，内容须包含响应该技术参数的表述。</w:t>
            </w:r>
            <w:r/>
          </w:p>
          <w:p>
            <w:pPr>
              <w:pStyle w:val="1371"/>
              <w:spacing w:line="240" w:lineRule="exact"/>
              <w:rPr>
                <w:rFonts w:hint="eastAsia"/>
                <w:color w:val="auto"/>
                <w:highlight w:val="none"/>
              </w:rPr>
            </w:pPr>
            <w:r>
              <w:rPr>
                <w:rFonts w:hint="eastAsia" w:ascii="仿宋" w:hAnsi="仿宋" w:eastAsia="仿宋" w:cs="仿宋"/>
                <w:b/>
                <w:bCs/>
                <w:color w:val="auto"/>
                <w:sz w:val="21"/>
                <w:szCs w:val="21"/>
                <w:highlight w:val="none"/>
              </w:rPr>
              <w:t xml:space="preserve">（4）提供相关证明材料或承诺函扫描件加盖供应商公章，未提供或提供的材料未用明显的标记指出对应评审内容的描述或提供的材料不能证明评审内容的，均视为负偏离予以扣分。</w:t>
            </w:r>
            <w:r/>
          </w:p>
          <w:p>
            <w:pPr>
              <w:pStyle w:val="1371"/>
              <w:spacing w:line="24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2.技术响应指标及要求应根据采购清单在《采购需求偏离表》中逐项列出并明确偏离情况，未列出或未明确偏离情况的均视为负偏离予以扣分。</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19</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是</w:t>
            </w:r>
            <w:r/>
          </w:p>
        </w:tc>
      </w:tr>
      <w:tr>
        <w:trPr>
          <w:jc w:val="center"/>
          <w:trHeight w:val="5325"/>
        </w:trPr>
        <w:tc>
          <w:tcPr>
            <w:tcW w:w="639"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3.2</w:t>
            </w:r>
            <w:r/>
          </w:p>
        </w:tc>
        <w:tc>
          <w:tcPr>
            <w:tcW w:w="1280"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关键技术指标</w:t>
            </w:r>
            <w:r/>
          </w:p>
        </w:tc>
        <w:tc>
          <w:tcPr>
            <w:tcW w:w="492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1.站点显示屏上可动态显示收发任务传输进度百分比，便于医护人员及时了解物品传输进度，防止物品丢失，</w:t>
            </w:r>
            <w:r>
              <w:rPr>
                <w:rFonts w:hint="eastAsia" w:ascii="仿宋" w:hAnsi="仿宋" w:eastAsia="仿宋" w:cs="仿宋"/>
                <w:b/>
                <w:bCs/>
                <w:szCs w:val="21"/>
                <w:highlight w:val="none"/>
              </w:rPr>
              <w:t xml:space="preserve">提供视频证明且满足要求的得2分；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2.站点具备语音发送功能，医护人员通过语音输入接收站点，系统可自动识别并将传输瓶传输至指定站点，该功能可降低医护人员操作失误风险，</w:t>
            </w:r>
            <w:r>
              <w:rPr>
                <w:rFonts w:hint="eastAsia" w:ascii="仿宋" w:hAnsi="仿宋" w:eastAsia="仿宋" w:cs="仿宋"/>
                <w:b/>
                <w:bCs/>
                <w:szCs w:val="21"/>
                <w:highlight w:val="none"/>
              </w:rPr>
              <w:t xml:space="preserve">提供由国家认可的第三方检测机构出具的检测报告及视频证明且满足要求的得2分</w:t>
            </w:r>
            <w:r>
              <w:rPr>
                <w:rFonts w:hint="eastAsia" w:ascii="仿宋" w:hAnsi="仿宋" w:eastAsia="仿宋" w:cs="仿宋"/>
                <w:szCs w:val="21"/>
                <w:highlight w:val="none"/>
              </w:rPr>
              <w:t xml:space="preserve">；</w:t>
            </w:r>
            <w:r/>
          </w:p>
          <w:p>
            <w:pPr>
              <w:ind w:left="-38"/>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1）应用明显的标记指出检测报告中满足所需功能相对应的内容描述；（2）视频文件上传方式见《“苏采云”系统供应商操作手册》规定，上传的演示视频将作为投标文件的组成部分，视频时长总计不超过10分钟；要求提供视频演示内容必须为实际录屏或者无剪辑拍摄视频，不接受PPT演示及DEMO演示，根据演示内容对要求的功能进行评审；演示内容要求录制能够完整准确展示相关内容及功能、操作过程并同步解说的演示视频，提供的视频不能播放或提供的材料不符合要求的，均不得分。</w:t>
            </w:r>
            <w:r/>
          </w:p>
        </w:tc>
        <w:tc>
          <w:tcPr>
            <w:tcW w:w="694"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vMerge w:val="restart"/>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W w:w="793" w:type="dxa"/>
            <w:vAlign w:val="center"/>
            <w:vMerge w:val="restart"/>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否</w:t>
            </w:r>
            <w:r/>
          </w:p>
        </w:tc>
        <w:tc>
          <w:tcPr>
            <w:tcW w:w="736" w:type="dxa"/>
            <w:vAlign w:val="center"/>
            <w:vMerge w:val="restart"/>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是</w:t>
            </w:r>
            <w:r/>
          </w:p>
        </w:tc>
      </w:tr>
      <w:tr>
        <w:trPr>
          <w:jc w:val="center"/>
          <w:trHeight w:val="3628"/>
        </w:trPr>
        <w:tc>
          <w:tcPr>
            <w:tcW w:w="639" w:type="dxa"/>
            <w:vAlign w:val="center"/>
            <w:vMerge w:val="continue"/>
            <w:textDirection w:val="lrTb"/>
            <w:noWrap w:val="false"/>
          </w:tcPr>
          <w:p>
            <w:pPr>
              <w:ind w:left="-38"/>
              <w:rPr>
                <w:highlight w:val="none"/>
              </w:rPr>
            </w:pPr>
            <w:r>
              <w:rPr>
                <w:highlight w:val="none"/>
              </w:rPr>
            </w:r>
            <w:r/>
          </w:p>
        </w:tc>
        <w:tc>
          <w:tcPr>
            <w:tcW w:w="1280" w:type="dxa"/>
            <w:vAlign w:val="center"/>
            <w:vMerge w:val="continue"/>
            <w:textDirection w:val="lrTb"/>
            <w:noWrap w:val="false"/>
          </w:tcPr>
          <w:p>
            <w:pPr>
              <w:ind w:left="-38"/>
              <w:rPr>
                <w:highlight w:val="none"/>
              </w:rPr>
            </w:pPr>
            <w:r>
              <w:rPr>
                <w:highlight w:val="none"/>
              </w:rPr>
            </w:r>
            <w:r/>
          </w:p>
        </w:tc>
        <w:tc>
          <w:tcPr>
            <w:tcW w:w="492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3.自动回瓶策略，可以绑定传输瓶与科室的对应关系，当传输瓶放到站点发瓶口，识别到传输瓶编号后，无需选择接收科室，自动生成传输任务将传输瓶发回到绑定的科室，</w:t>
            </w:r>
            <w:r>
              <w:rPr>
                <w:rFonts w:hint="eastAsia" w:ascii="仿宋" w:hAnsi="仿宋" w:eastAsia="仿宋" w:cs="仿宋"/>
                <w:b/>
                <w:bCs/>
                <w:szCs w:val="21"/>
                <w:highlight w:val="none"/>
              </w:rPr>
              <w:t xml:space="preserve">提供证明材料且满足要求的得1分</w:t>
            </w:r>
            <w:r>
              <w:rPr>
                <w:rFonts w:hint="eastAsia" w:ascii="仿宋" w:hAnsi="仿宋" w:eastAsia="仿宋" w:cs="仿宋"/>
                <w:szCs w:val="21"/>
                <w:highlight w:val="none"/>
              </w:rPr>
              <w:t xml:space="preserve">；</w:t>
            </w:r>
            <w:r/>
          </w:p>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注：（1）应用明显的标记指出测试报告中满足所需功能相对应的内容描述；（2）以上证明材料须提供①国家认可的第三方检测机构出具的软件产品确认测试报告并提供该报告在国家认证认可监督管理委员会官网查询截图；②第三方检测机构在国家认证认可监督管理委员会官网查询的具有软件产品检测能力范围截图，未提供或不符合要求的不得分。</w:t>
            </w:r>
            <w:r/>
          </w:p>
        </w:tc>
        <w:tc>
          <w:tcPr>
            <w:tcW w:w="694"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27"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93"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6" w:type="dxa"/>
            <w:vAlign w:val="center"/>
            <w:vMerge w:val="continue"/>
            <w:textDirection w:val="lrTb"/>
            <w:noWrap w:val="false"/>
          </w:tcPr>
          <w:p>
            <w:pPr>
              <w:ind w:left="-38"/>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jc w:val="center"/>
          <w:trHeight w:val="1937"/>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3.3</w:t>
            </w:r>
            <w:r/>
          </w:p>
        </w:tc>
        <w:tc>
          <w:tcPr>
            <w:tcW w:w="1280" w:type="dxa"/>
            <w:vAlign w:val="center"/>
            <w:textDirection w:val="lrTb"/>
            <w:noWrap w:val="false"/>
          </w:tcPr>
          <w:p>
            <w:pPr>
              <w:jc w:val="center"/>
              <w:spacing w:line="240" w:lineRule="exact"/>
              <w:rPr>
                <w:rFonts w:hint="eastAsia" w:ascii="仿宋" w:hAnsi="仿宋" w:eastAsia="仿宋" w:cs="仿宋"/>
                <w:spacing w:val="-2"/>
                <w:position w:val="7"/>
                <w:szCs w:val="21"/>
                <w:highlight w:val="none"/>
              </w:rPr>
            </w:pPr>
            <w:r>
              <w:rPr>
                <w:rFonts w:hint="eastAsia" w:ascii="仿宋" w:hAnsi="仿宋" w:eastAsia="仿宋" w:cs="仿宋"/>
                <w:szCs w:val="21"/>
                <w:highlight w:val="none"/>
              </w:rPr>
              <w:t xml:space="preserve">企业业绩</w:t>
            </w:r>
            <w:r/>
          </w:p>
        </w:tc>
        <w:tc>
          <w:tcPr>
            <w:tcW w:w="4920" w:type="dxa"/>
            <w:vAlign w:val="center"/>
            <w:textDirection w:val="lrTb"/>
            <w:noWrap w:val="false"/>
          </w:tcPr>
          <w:p>
            <w:pPr>
              <w:jc w:val="left"/>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供应商自2023年1月1日以来（以合同签订时间为准）具有类似项目业绩，每提供一个业绩得2分，本项最高得8分。</w:t>
            </w:r>
            <w:r/>
          </w:p>
          <w:p>
            <w:pPr>
              <w:pStyle w:val="1371"/>
              <w:spacing w:line="240" w:lineRule="exact"/>
              <w:rPr>
                <w:rFonts w:hint="eastAsia"/>
                <w:highlight w:val="none"/>
              </w:rPr>
            </w:pPr>
            <w:r>
              <w:rPr>
                <w:rFonts w:hint="eastAsia" w:ascii="仿宋" w:hAnsi="仿宋" w:eastAsia="仿宋" w:cs="仿宋"/>
                <w:color w:val="auto"/>
                <w:sz w:val="21"/>
                <w:szCs w:val="21"/>
                <w:highlight w:val="none"/>
              </w:rPr>
              <w:t xml:space="preserve">须提供能体现评审内容的类似业绩合同（至少应包含首页、盖章页、合同清单）扫描件并加盖公章，时间以合同签订时间为准、内容以合同明确为准。未提供或未按要求提供的均不得分。</w:t>
            </w:r>
            <w:r/>
          </w:p>
        </w:tc>
        <w:tc>
          <w:tcPr>
            <w:tcW w:w="694"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8</w:t>
            </w:r>
            <w:r/>
          </w:p>
        </w:tc>
        <w:tc>
          <w:tcPr>
            <w:tcW w:w="793"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是</w:t>
            </w:r>
            <w:r/>
          </w:p>
        </w:tc>
      </w:tr>
      <w:tr>
        <w:trPr>
          <w:jc w:val="center"/>
          <w:trHeight w:val="1504"/>
        </w:trPr>
        <w:tc>
          <w:tcPr>
            <w:tcW w:w="639"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3.4</w:t>
            </w:r>
            <w:r/>
          </w:p>
        </w:tc>
        <w:tc>
          <w:tcPr>
            <w:tcW w:w="1280"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质保期承诺</w:t>
            </w:r>
            <w:r/>
          </w:p>
        </w:tc>
        <w:tc>
          <w:tcPr>
            <w:tcW w:w="4920" w:type="dxa"/>
            <w:vAlign w:val="center"/>
            <w:textDirection w:val="lrTb"/>
            <w:noWrap w:val="false"/>
          </w:tcPr>
          <w:p>
            <w:pPr>
              <w:pStyle w:val="1459"/>
              <w:jc w:val="left"/>
              <w:spacing w:before="0" w:after="0" w:line="240" w:lineRule="exact"/>
              <w:shd w:val="clear" w:color="auto" w:fill="auto"/>
              <w:tabs>
                <w:tab w:val="left" w:pos="567" w:leader="none"/>
              </w:tabs>
              <w:rPr>
                <w:rFonts w:ascii="仿宋" w:hAnsi="仿宋" w:eastAsia="仿宋" w:cs="仿宋"/>
                <w:sz w:val="21"/>
                <w:szCs w:val="21"/>
                <w:highlight w:val="none"/>
              </w:rPr>
            </w:pPr>
            <w:r>
              <w:rPr>
                <w:rFonts w:ascii="仿宋" w:hAnsi="仿宋" w:eastAsia="仿宋" w:cs="仿宋"/>
                <w:sz w:val="21"/>
                <w:szCs w:val="21"/>
                <w:highlight w:val="none"/>
              </w:rPr>
              <w:t xml:space="preserve">供应商承诺在满足2年质保期的基础上，每增加一年得2分，本项最高得6分。</w:t>
            </w:r>
            <w:r/>
          </w:p>
          <w:p>
            <w:pPr>
              <w:pStyle w:val="1459"/>
              <w:jc w:val="left"/>
              <w:spacing w:before="0" w:after="0" w:line="240" w:lineRule="exact"/>
              <w:shd w:val="clear" w:color="auto" w:fill="auto"/>
              <w:tabs>
                <w:tab w:val="left" w:pos="567" w:leader="none"/>
              </w:tabs>
              <w:rPr>
                <w:rFonts w:ascii="仿宋" w:hAnsi="仿宋" w:eastAsia="仿宋" w:cs="仿宋"/>
                <w:sz w:val="21"/>
                <w:szCs w:val="21"/>
                <w:highlight w:val="none"/>
              </w:rPr>
            </w:pPr>
            <w:r>
              <w:rPr>
                <w:rFonts w:ascii="仿宋" w:hAnsi="仿宋" w:eastAsia="仿宋" w:cs="仿宋"/>
                <w:sz w:val="21"/>
                <w:szCs w:val="21"/>
                <w:highlight w:val="none"/>
              </w:rPr>
              <w:t xml:space="preserve">提供书面承诺函，应明确具体的质保期限及响应采购需求的质保期服务要求，否则不得分。承诺函格式自拟并加盖供应商公章。</w:t>
            </w:r>
            <w:r/>
          </w:p>
        </w:tc>
        <w:tc>
          <w:tcPr>
            <w:tcW w:w="694"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0</w:t>
            </w:r>
            <w:r/>
          </w:p>
        </w:tc>
        <w:tc>
          <w:tcPr>
            <w:tcW w:w="727"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tcW w:w="793"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否</w:t>
            </w:r>
            <w:r/>
          </w:p>
        </w:tc>
        <w:tc>
          <w:tcPr>
            <w:tcW w:w="736" w:type="dxa"/>
            <w:vAlign w:val="center"/>
            <w:textDirection w:val="lrTb"/>
            <w:noWrap w:val="false"/>
          </w:tcPr>
          <w:p>
            <w:pPr>
              <w:jc w:val="center"/>
              <w:spacing w:line="2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是</w:t>
            </w:r>
            <w:r/>
          </w:p>
        </w:tc>
      </w:tr>
    </w:tbl>
    <w:p>
      <w:pPr>
        <w:jc w:val="center"/>
        <w:widowControl/>
        <w:rPr>
          <w:rFonts w:hint="eastAsia" w:ascii="仿宋" w:hAnsi="仿宋" w:eastAsia="仿宋" w:cs="仿宋"/>
          <w:b/>
          <w:szCs w:val="21"/>
          <w:highlight w:val="none"/>
        </w:rPr>
      </w:pPr>
      <w:r>
        <w:rPr>
          <w:rFonts w:hint="eastAsia" w:ascii="仿宋" w:hAnsi="仿宋" w:eastAsia="仿宋" w:cs="仿宋"/>
          <w:b/>
          <w:szCs w:val="21"/>
          <w:highlight w:val="none"/>
        </w:rPr>
      </w:r>
      <w:r/>
    </w:p>
    <w:p>
      <w:pPr>
        <w:contextualSpacing/>
        <w:ind w:firstLine="422"/>
        <w:spacing w:line="360" w:lineRule="auto"/>
        <w:rPr>
          <w:rFonts w:hint="eastAsia" w:ascii="仿宋" w:hAnsi="仿宋" w:eastAsia="仿宋" w:cs="仿宋"/>
          <w:szCs w:val="21"/>
          <w:highlight w:val="none"/>
        </w:rPr>
      </w:pPr>
      <w:r>
        <w:rPr>
          <w:rFonts w:hint="eastAsia" w:ascii="仿宋" w:hAnsi="仿宋" w:eastAsia="仿宋" w:cs="仿宋"/>
          <w:b/>
          <w:bCs/>
          <w:szCs w:val="21"/>
          <w:highlight w:val="none"/>
        </w:rPr>
        <w:t xml:space="preserve">注：</w:t>
      </w:r>
      <w:r>
        <w:rPr>
          <w:rFonts w:hint="eastAsia" w:ascii="仿宋" w:hAnsi="仿宋" w:eastAsia="仿宋" w:cs="仿宋"/>
          <w:szCs w:val="21"/>
          <w:highlight w:val="none"/>
        </w:rPr>
        <w:t xml:space="preserve">1.进场时，若有货物及相关服务参数未能满足招标文件要求而中标人未在偏离表中明确的情况，须无条件按采购人及招标文件要求整改，否则采购人有权解除合同同时追究因此造成的损失。</w:t>
      </w:r>
      <w:r/>
    </w:p>
    <w:p>
      <w:pPr>
        <w:contextualSpacing/>
        <w:ind w:firstLine="422"/>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2.评标标准中要求提供的证明文件及资料等按要求在投标文件中提供扫描件并加盖供应商公章；扫描件材料内容、印章必须完整、字迹清晰，确保文字（数字）内容无变形、清晰可辨且在有效期内。评标委员会成员半数以上认定模糊无法辨认的不得分。</w:t>
      </w:r>
      <w:r/>
    </w:p>
    <w:p>
      <w:pPr>
        <w:contextualSpacing/>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3.评标时，未能按以上要求提供相应证明的，不作为评审依据，不得分。</w:t>
      </w:r>
      <w:r/>
    </w:p>
    <w:p>
      <w:pPr>
        <w:contextualSpacing/>
        <w:ind w:firstLine="420"/>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p>
    <w:p>
      <w:pPr>
        <w:contextualSpacing/>
        <w:ind w:firstLine="420"/>
        <w:spacing w:line="360" w:lineRule="auto"/>
        <w:widowControl/>
        <w:rPr>
          <w:rFonts w:hint="eastAsia" w:ascii="仿宋" w:hAnsi="仿宋" w:eastAsia="仿宋" w:cs="仿宋"/>
          <w:szCs w:val="21"/>
          <w:highlight w:val="none"/>
        </w:rPr>
        <w:sectPr>
          <w:headerReference w:type="default" r:id="rId15"/>
          <w:footnotePr/>
          <w:endnotePr/>
          <w:type w:val="nextPage"/>
          <w:pgSz w:w="11907" w:h="16840" w:orient="portrait"/>
          <w:pgMar w:top="1440" w:right="1080" w:bottom="1440" w:left="1080" w:header="851" w:footer="851" w:gutter="0"/>
          <w:cols w:num="1" w:sep="0" w:space="720" w:equalWidth="1"/>
          <w:docGrid w:linePitch="360"/>
        </w:sectPr>
      </w:pPr>
      <w:r>
        <w:rPr>
          <w:rFonts w:hint="eastAsia" w:ascii="仿宋" w:hAnsi="仿宋" w:eastAsia="仿宋" w:cs="仿宋"/>
          <w:szCs w:val="21"/>
          <w:highlight w:val="none"/>
        </w:rPr>
        <w:t xml:space="preserve">5.供应商按评分细则所有得分项目均视为对本次招标的承诺，成交后均作为合同的组成部分。</w:t>
      </w:r>
      <w:bookmarkStart w:id="781" w:name="_Hlk138940374"/>
      <w:r/>
      <w:bookmarkStart w:id="782" w:name="_Hlk139629014"/>
      <w:r/>
      <w:r/>
    </w:p>
    <w:p>
      <w:pPr>
        <w:contextualSpacing/>
        <w:ind w:firstLine="643"/>
        <w:jc w:val="center"/>
        <w:spacing w:line="360" w:lineRule="auto"/>
        <w:widowControl/>
        <w:rPr>
          <w:rStyle w:val="1243"/>
          <w:rFonts w:hint="eastAsia" w:ascii="仿宋" w:hAnsi="仿宋" w:eastAsia="仿宋" w:cs="仿宋"/>
          <w:highlight w:val="none"/>
        </w:rPr>
      </w:pPr>
      <w:r/>
      <w:bookmarkStart w:id="783" w:name="_Toc25545"/>
      <w:r>
        <w:rPr>
          <w:rStyle w:val="1243"/>
          <w:rFonts w:hint="eastAsia" w:ascii="仿宋" w:hAnsi="仿宋" w:eastAsia="仿宋" w:cs="仿宋"/>
          <w:highlight w:val="none"/>
        </w:rPr>
        <w:t xml:space="preserve">第五章   </w:t>
      </w:r>
      <w:bookmarkStart w:id="784" w:name="_Hlk119590621"/>
      <w:r>
        <w:rPr>
          <w:rStyle w:val="1243"/>
          <w:rFonts w:hint="eastAsia" w:ascii="仿宋" w:hAnsi="仿宋" w:eastAsia="仿宋" w:cs="仿宋"/>
          <w:highlight w:val="none"/>
        </w:rPr>
        <w:t xml:space="preserve">采购需求</w:t>
      </w:r>
      <w:r/>
    </w:p>
    <w:p>
      <w:pPr>
        <w:rPr>
          <w:rFonts w:hint="eastAsia" w:ascii="仿宋" w:hAnsi="仿宋" w:eastAsia="仿宋" w:cs="仿宋"/>
          <w:highlight w:val="none"/>
        </w:rPr>
      </w:pPr>
      <w:r>
        <w:rPr>
          <w:rFonts w:hint="eastAsia" w:ascii="仿宋" w:hAnsi="仿宋" w:eastAsia="仿宋" w:cs="仿宋"/>
          <w:highlight w:val="none"/>
        </w:rPr>
      </w:r>
      <w:r/>
    </w:p>
    <w:p>
      <w:pPr>
        <w:pStyle w:val="1473"/>
        <w:ind w:firstLine="420"/>
        <w:jc w:val="left"/>
        <w:spacing w:line="360" w:lineRule="auto"/>
        <w:rPr>
          <w:rFonts w:hint="eastAsia" w:ascii="仿宋" w:hAnsi="仿宋" w:eastAsia="仿宋" w:cs="仿宋"/>
          <w:szCs w:val="21"/>
          <w:highlight w:val="none"/>
        </w:rPr>
      </w:pPr>
      <w:r>
        <w:rPr>
          <w:rFonts w:hint="eastAsia" w:ascii="仿宋" w:hAnsi="仿宋" w:eastAsia="仿宋" w:cs="仿宋"/>
          <w:bCs/>
          <w:szCs w:val="21"/>
          <w:highlight w:val="none"/>
        </w:rPr>
        <w:t xml:space="preserve">一、</w:t>
      </w:r>
      <w:r>
        <w:rPr>
          <w:rFonts w:hint="eastAsia" w:ascii="仿宋" w:hAnsi="仿宋" w:eastAsia="仿宋" w:cs="仿宋"/>
          <w:szCs w:val="21"/>
          <w:highlight w:val="none"/>
        </w:rPr>
        <w:t xml:space="preserve">采购标的</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1.项目名称：新北区人民医院项目一期气动物流设备采购</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2.项目预算金额：256万元；</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3.项目最高限价：2560000元；投标报价不得高于最高限价，否则将作为无效投标。</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4.采购需求（简介）：</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常州市新北区人民医院项目一期气动物流设备采购，包括但不限于气动物流传输系统（设置16个站点）设备的采购、运输、装卸、安装、调试、测试、技术培训、履约验收、售后服务（质量保修、免费维保）等全部工作。</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5.合同履行期限：接采购人通知后180日内完成供货、安装，于2027年12月25日前完成调试、验收合格并具备使用条件，且不得影响项目整体竣工验收。</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6．是/否接受联合体投标：否</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7．是/否接受分支机构参与响应：否</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8．是/否属于政府购买服务：否</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9．是/否接受进口产品投标：否</w:t>
      </w:r>
      <w:r/>
    </w:p>
    <w:p>
      <w:pPr>
        <w:pStyle w:val="1222"/>
        <w:ind w:firstLine="422"/>
        <w:spacing w:before="0" w:beforeAutospacing="0" w:after="0" w:afterAutospacing="0" w:line="360" w:lineRule="auto"/>
        <w:widowControl w:val="off"/>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10．是/否专门面向中小企业预留采购份额：本项目不专门面向中小、小微企业采购。</w:t>
      </w:r>
      <w:r/>
    </w:p>
    <w:p>
      <w:pPr>
        <w:ind w:firstLine="420"/>
        <w:spacing w:line="360"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11．本项目的特定资格要求：无 。</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12．项目类别：货物类</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二、商务要求</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1．交付的时间和地点</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（1）交付时间：接采购人通知后180日内完成供货、安装，于2027年12月25日前完成调试、验收合格并具备使用条件，且不得影响项目整体竣工验收。</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（2）交付地点：</w:t>
      </w:r>
      <w:r>
        <w:rPr>
          <w:rFonts w:hint="eastAsia" w:ascii="仿宋" w:hAnsi="仿宋" w:eastAsia="仿宋" w:cs="仿宋"/>
          <w:sz w:val="22"/>
          <w:szCs w:val="22"/>
          <w:highlight w:val="none"/>
        </w:rPr>
        <w:t xml:space="preserve">新北区人民医院项目一期工地（常州市新北区，长江路以西、乐山路以东、嫩江路以北地块）</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2．付款条件（进度和方式）</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2.1分期付款：</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1）本合同为</w:t>
      </w:r>
      <w:r>
        <w:rPr>
          <w:rFonts w:hint="eastAsia" w:ascii="仿宋" w:hAnsi="仿宋" w:eastAsia="仿宋" w:cs="仿宋"/>
          <w:highlight w:val="none"/>
        </w:rPr>
        <w:t xml:space="preserve">固定</w:t>
      </w:r>
      <w:r>
        <w:rPr>
          <w:rFonts w:hint="eastAsia" w:ascii="仿宋" w:hAnsi="仿宋" w:eastAsia="仿宋" w:cs="仿宋"/>
          <w:szCs w:val="21"/>
          <w:highlight w:val="none"/>
          <w:lang w:bidi="ar"/>
        </w:rPr>
        <w:t xml:space="preserve">站点平均综合单价</w:t>
      </w:r>
      <w:r>
        <w:rPr>
          <w:rFonts w:hint="eastAsia" w:ascii="仿宋" w:hAnsi="仿宋" w:eastAsia="仿宋" w:cs="仿宋"/>
          <w:spacing w:val="-4"/>
          <w:szCs w:val="21"/>
          <w:highlight w:val="none"/>
        </w:rPr>
        <w:t xml:space="preserve">合同；</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2）本项目以人民币付款；</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3）中标人在合同签订前向采购人提供签约合同价5%的履约保证金（履约担保的形式：现金或银行保函），履约结束后30个工作日内无息退还中标人。</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4）预付款支付时间：合同签订生效后；预付款支付比例：签约合同金额的30%；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5）进度款支付时间：全部设备完成安装调试合格后；进度款支付比例：支付至签约合同金额的70%；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6）结算款支付时间：所有设备投入使用正常运行三个月并经履约验收合格及结算审定完成后；结算款支付比例：支付至审定金额的100%。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满足合同约定支付条件的，自收到发票后支付。</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付款时供应商提供符合规定及采购人要求的增值税专用发票。</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2.2报价要求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本合同采用</w:t>
      </w:r>
      <w:r>
        <w:rPr>
          <w:rFonts w:hint="eastAsia" w:ascii="仿宋" w:hAnsi="仿宋" w:eastAsia="仿宋" w:cs="仿宋"/>
          <w:highlight w:val="none"/>
        </w:rPr>
        <w:t xml:space="preserve">固定</w:t>
      </w:r>
      <w:r>
        <w:rPr>
          <w:rFonts w:hint="eastAsia" w:ascii="仿宋" w:hAnsi="仿宋" w:eastAsia="仿宋" w:cs="仿宋"/>
          <w:szCs w:val="21"/>
          <w:highlight w:val="none"/>
          <w:lang w:bidi="ar"/>
        </w:rPr>
        <w:t xml:space="preserve">站点平均综合单价合同</w:t>
      </w:r>
      <w:r>
        <w:rPr>
          <w:rFonts w:hint="eastAsia" w:ascii="仿宋" w:hAnsi="仿宋" w:eastAsia="仿宋" w:cs="仿宋"/>
          <w:bCs/>
          <w:szCs w:val="21"/>
          <w:highlight w:val="none"/>
        </w:rPr>
        <w:t xml:space="preserve">。</w:t>
      </w:r>
      <w:bookmarkStart w:id="785" w:name="_Hlk124937920"/>
      <w:r>
        <w:rPr>
          <w:rFonts w:hint="eastAsia" w:ascii="仿宋" w:hAnsi="仿宋" w:eastAsia="仿宋" w:cs="仿宋"/>
          <w:bCs/>
          <w:szCs w:val="21"/>
          <w:highlight w:val="none"/>
        </w:rPr>
        <w:t xml:space="preserve">投标报价是在符合相应技术规范及招标文件约定的技术要求，完成招标文件所确定的采购清单范围内的全部货物的采购、制作、安装、验收、移交、质量保修和售后服务所包含的全部内容的价格体现。包含但不限于完成本项目所有设备、材料采购、备品备件、产品运输、包装、保险、安装、调试、管理费、利润、检验试验费、规费、税金（含关税）、质保期和维保费、政策性文件规定及合同包含的所有风险、责任和招标文件所要求的相关服务、不可预见费等全部费用。</w:t>
      </w:r>
      <w:bookmarkEnd w:id="785"/>
      <w:r>
        <w:rPr>
          <w:rFonts w:hint="eastAsia" w:ascii="仿宋" w:hAnsi="仿宋" w:eastAsia="仿宋" w:cs="仿宋"/>
          <w:bCs/>
          <w:szCs w:val="21"/>
          <w:highlight w:val="none"/>
        </w:rPr>
        <w:t xml:space="preserve">供应商报价时应综合考虑，确保所有设备符合主管部门要求并正常投入使用，因此产生的所有费用均含在投标报价中，采购人不另行支付。</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3．包装和运输</w:t>
      </w:r>
      <w:r/>
    </w:p>
    <w:p>
      <w:pPr>
        <w:ind w:firstLine="404"/>
        <w:jc w:val="left"/>
        <w:spacing w:line="360" w:lineRule="auto"/>
        <w:rPr>
          <w:rFonts w:hint="eastAsia" w:ascii="仿宋" w:hAnsi="仿宋" w:eastAsia="仿宋" w:cs="仿宋"/>
          <w:bCs/>
          <w:spacing w:val="-4"/>
          <w:szCs w:val="21"/>
          <w:highlight w:val="none"/>
        </w:rPr>
      </w:pPr>
      <w:r>
        <w:rPr>
          <w:rFonts w:hint="eastAsia" w:ascii="仿宋" w:hAnsi="仿宋" w:eastAsia="仿宋" w:cs="仿宋"/>
          <w:bCs/>
          <w:spacing w:val="-4"/>
          <w:szCs w:val="21"/>
          <w:highlight w:val="none"/>
        </w:rPr>
        <w:t xml:space="preserve">本项目采购的货物类包装，应满足《关于印发〈商品包装政府采购需求标准（试行）〉、〈快递包装政府采购需求标准（试行）〉的通知》（财办库〔2020〕123号））的规定。</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4．售后服务（质保期等）</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4.1质保期</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本项目质保期为贰年，质保期自项目验收合格之日起算。产品质量保证期内，凡货物在开箱检验、安装调试、货物试运转过程中发现的货物质量问题，由供应商负责处理，实行包修、包换、包退，直至产品符合质量要求，供应商承担修理、调换、退货发生的一切费用和采购人的直接经济损失。质保期内免费更换零配件（人为损坏除外），质保期满后实行终身有偿维修保养；</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4.2售后服务</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（1）供应商须提供售后服务方案（明确质保期内外的售后服务方案），加强售后服务管理。</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要求产品制造商直接提供维修和保养服务，终身维修并标明保修期后的具体维修维护事宜。配件费，人工费及其他费用的收取，主要零配件（提供关键配件及配套耗材的价格清单）；提供维修部负责人名单及联系方式。</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3）如出现货物的安装、启动、运行及维护等需要培训的，供应商应为采购人技术人员技术进行免费培训（培训内容包括货物的基本结构、性能、主要部件的构造及处理，日常使用操作、保养与管理、常见故障的排除、紧急情况的处理等），培训地点主要在货物安装现场或由采购人安排。</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（4）由于采购人使用不当造成货物短缺、故障或损坏，由采购人负责,中标人提供有偿服务，中标人须保证及时给予补齐或修复。</w:t>
      </w:r>
      <w:r/>
    </w:p>
    <w:p>
      <w:pPr>
        <w:ind w:firstLine="420"/>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（5）</w:t>
      </w:r>
      <w:r>
        <w:rPr>
          <w:rFonts w:hint="eastAsia" w:ascii="仿宋" w:hAnsi="仿宋" w:eastAsia="仿宋" w:cs="仿宋"/>
          <w:bCs/>
          <w:szCs w:val="21"/>
          <w:highlight w:val="none"/>
        </w:rPr>
        <w:t xml:space="preserve">质保期结束，不能视为中标人对合同货物中存在的可能引起货物损坏的潜在缺陷所应负责任的解除。潜在缺陷指货物在制造过程中未被发现的隐患，中标人对纠正潜在缺陷应负责任，其时间应延续至质保期终止后贰年。当发现这类潜在缺陷时（经双方确认），中标人应立即予以无偿修复或更换。</w:t>
      </w:r>
      <w:r/>
    </w:p>
    <w:p>
      <w:pPr>
        <w:pStyle w:val="1473"/>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三、技术要求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（指对采购标的功能和质量要求，包括性能、材料、结构、外观、安全，或者服务内容和标准等）</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1．基本要求</w:t>
      </w:r>
      <w:r/>
    </w:p>
    <w:p>
      <w:pPr>
        <w:ind w:firstLine="420"/>
        <w:spacing w:line="36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1.1 采购标的需实现的功能或者目标：</w:t>
      </w:r>
      <w:r>
        <w:rPr>
          <w:rFonts w:hint="eastAsia" w:ascii="仿宋" w:hAnsi="仿宋" w:eastAsia="仿宋" w:cs="仿宋"/>
          <w:bCs/>
          <w:szCs w:val="21"/>
          <w:highlight w:val="none"/>
        </w:rPr>
        <w:t xml:space="preserve">供应商应根据各自产品特点，所投货物符合相应设备技术规范及招标文件约定的技术要求，并满足项目需求中明确的采购数量及参数要求，安装调试并验收合格。实现采购人物流系统的运行要求，确保所购设备能满足医疗需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1.2 需执行的国家相关标准、行业标准、地方标准或者其他标准、规范：</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本项目的技术规格及技术标准，采用相关产品的国家标准、行业标准及企业标准，当相关标准互相冲突时，以高一级的标准为准，所有这些采用的标准应是有关机构发布的最新版本的标准。本项目所参照的国家、行业、地方标准如有被新版本所替代的，采用新版本或旧版本为检测标准的检测报告及证明材料（应包含新旧版本替代情况的说明）都将被接受。</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1.3 全院设置气动物流辅助箱式物流做小件、急件物品的传送。主要覆盖门急诊和医技检验科单元。本项目共设计16个常规气动站点，涵盖门急诊、住院部采血窗口、检验科等站点。气动物流传输系统是以压缩空气为动力，借助机电技术和计算机控制技术，通过网络管理和全程监控，将物品放在胶囊瓶内通过专用管道进行传输。</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2．货物技术要求</w:t>
      </w:r>
      <w:r/>
    </w:p>
    <w:p>
      <w:pPr>
        <w:ind w:firstLine="420"/>
        <w:jc w:val="left"/>
        <w:spacing w:line="360" w:lineRule="auto"/>
        <w:rPr>
          <w:rFonts w:hint="eastAsia" w:ascii="仿宋" w:hAnsi="仿宋" w:eastAsia="仿宋" w:cs="仿宋"/>
          <w:bCs/>
          <w:szCs w:val="21"/>
          <w:highlight w:val="none"/>
        </w:rPr>
      </w:pPr>
      <w:r>
        <w:rPr>
          <w:rFonts w:hint="eastAsia" w:ascii="仿宋" w:hAnsi="仿宋" w:eastAsia="仿宋" w:cs="仿宋"/>
          <w:bCs/>
          <w:szCs w:val="21"/>
          <w:highlight w:val="none"/>
        </w:rPr>
        <w:t xml:space="preserve">2.1 采购标的需满足的性能、材料、结构、外观、质量、安全、技术规格、物理特性等要求；</w:t>
      </w:r>
      <w:r/>
    </w:p>
    <w:p>
      <w:pPr>
        <w:ind w:firstLine="422"/>
        <w:spacing w:line="360" w:lineRule="auto"/>
        <w:widowControl/>
        <w:rPr>
          <w:rFonts w:hint="eastAsia" w:ascii="仿宋" w:hAnsi="仿宋" w:eastAsia="仿宋" w:cs="仿宋"/>
          <w:b/>
          <w:szCs w:val="21"/>
          <w:highlight w:val="none"/>
        </w:rPr>
      </w:pPr>
      <w:r>
        <w:rPr>
          <w:rFonts w:hint="eastAsia" w:ascii="仿宋" w:hAnsi="仿宋" w:eastAsia="仿宋" w:cs="仿宋"/>
          <w:b/>
          <w:szCs w:val="21"/>
          <w:highlight w:val="none"/>
        </w:rPr>
        <w:t xml:space="preserve">（一）总体要求</w:t>
      </w:r>
      <w:r/>
    </w:p>
    <w:p>
      <w:pPr>
        <w:ind w:firstLine="420"/>
        <w:spacing w:line="360" w:lineRule="auto"/>
        <w:widowControl/>
        <w:rPr>
          <w:rFonts w:hint="eastAsia" w:ascii="仿宋" w:hAnsi="仿宋" w:eastAsia="仿宋" w:cs="仿宋"/>
          <w:bCs/>
          <w:szCs w:val="21"/>
          <w:highlight w:val="none"/>
        </w:rPr>
      </w:pPr>
      <w:r>
        <w:rPr>
          <w:rFonts w:hint="eastAsia" w:ascii="仿宋" w:hAnsi="仿宋" w:eastAsia="仿宋" w:cs="仿宋"/>
          <w:bCs/>
          <w:szCs w:val="21"/>
          <w:highlight w:val="none"/>
        </w:rPr>
        <w:t xml:space="preserve">（1）供应商应保证招标人在使用其所供货物时不受第三方提出侵犯其专利权、著作权和工业产权等知识产权的起诉。一旦出现侵权，一律由供应商承担全部责任。同时，供应商对招标人采购的货物所涉及的技术、产能等信息负有保密义务。</w:t>
      </w:r>
      <w:r/>
    </w:p>
    <w:p>
      <w:pPr>
        <w:ind w:firstLine="422"/>
        <w:spacing w:line="360" w:lineRule="auto"/>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★（2）供应商在投标文件中应提供投标产品的名称、规格参数、单价、品牌和生产厂商等。</w:t>
      </w:r>
      <w:r/>
    </w:p>
    <w:p>
      <w:pPr>
        <w:ind w:firstLine="420"/>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供应商所提供的货物的技术规格参数指标应等于或高于招标文件规定的或投标承诺的技术规格参数指标；若技术性能无特殊说明，则按国家有关部门最新颁布的标准及规范为准；应符合国家强制性标准及招标文件规定的或投标承诺的技术规格参数指标。</w:t>
      </w:r>
      <w:r/>
    </w:p>
    <w:p>
      <w:pPr>
        <w:ind w:firstLine="422"/>
        <w:spacing w:line="360" w:lineRule="auto"/>
        <w:widowControl/>
        <w:rPr>
          <w:rFonts w:hint="eastAsia" w:ascii="仿宋" w:hAnsi="仿宋" w:eastAsia="仿宋" w:cs="仿宋"/>
          <w:szCs w:val="21"/>
          <w:highlight w:val="none"/>
        </w:rPr>
      </w:pPr>
      <w:r>
        <w:rPr>
          <w:rFonts w:hint="eastAsia" w:ascii="仿宋" w:hAnsi="仿宋" w:eastAsia="仿宋" w:cs="仿宋"/>
          <w:b/>
          <w:bCs/>
          <w:szCs w:val="21"/>
          <w:highlight w:val="none"/>
        </w:rPr>
        <w:t xml:space="preserve">（二）站点分布：详见设计图纸。</w:t>
      </w:r>
      <w:r/>
    </w:p>
    <w:p>
      <w:pPr>
        <w:ind w:left="420"/>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（三）设备技术要求：</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1、医用智能气动物流传输系统采购清单及技术要求</w:t>
      </w:r>
      <w:r/>
    </w:p>
    <w:tbl>
      <w:tblPr>
        <w:tblStyle w:val="1195"/>
        <w:tblW w:w="4985" w:type="pct"/>
        <w:tblInd w:w="0" w:type="dxa"/>
        <w:tblLayout w:type="autofit"/>
        <w:tblCellMar>
          <w:left w:w="108" w:type="dxa"/>
          <w:top w:w="0" w:type="dxa"/>
          <w:right w:w="108" w:type="dxa"/>
          <w:bottom w:w="0" w:type="dxa"/>
        </w:tblCellMar>
        <w:tblLook w:val="04A0" w:firstRow="1" w:lastRow="0" w:firstColumn="1" w:lastColumn="0" w:noHBand="0" w:noVBand="1"/>
      </w:tblPr>
      <w:tblGrid>
        <w:gridCol w:w="839"/>
        <w:gridCol w:w="1675"/>
        <w:gridCol w:w="5811"/>
        <w:gridCol w:w="733"/>
        <w:gridCol w:w="767"/>
      </w:tblGrid>
      <w:tr>
        <w:trPr>
          <w:trHeight w:val="401"/>
          <w:tblHeader/>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数量</w:t>
            </w:r>
            <w:r/>
          </w:p>
        </w:tc>
      </w:tr>
      <w:tr>
        <w:trPr>
          <w:trHeight w:val="41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硬件部分</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传送瓶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1.内径 ≥120mm，长度≥350mm；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2.传输瓶最大载重量不小于5Kg；</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3.传输瓶在运行过程中的噪音小于45dB；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4.传输瓶两端为双旋盖及密封毡圈或翻盖及机械锁扣或侧面开启；</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5.传输瓶需密闭性保证，传输过程不破裂。</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r>
      <w:tr>
        <w:trPr>
          <w:trHeight w:val="3384"/>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w:t>
            </w:r>
            <w:r>
              <w:rPr>
                <w:rFonts w:hint="eastAsia" w:ascii="仿宋" w:hAnsi="仿宋" w:eastAsia="仿宋" w:cs="仿宋"/>
                <w:b/>
                <w:bCs/>
                <w:szCs w:val="21"/>
                <w:highlight w:val="none"/>
                <w:lang w:bidi="ar"/>
              </w:rPr>
              <w:t xml:space="preserve">智能化站点（核心产品）</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1.采用前置式或上置式站点；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2.自动识别传输瓶，防异物进入；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3.采用≥10英寸彩色液晶触摸屏；</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4.具备身份校验功能，防止人员发生误触；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5.可修改本次任务传输速度和优先级；</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6.可设置工作时段，在设定时间段内站点正常工作；</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7.可禁用或启用本站点；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8.具备发送等待超时功能，时间可设定，超时语音提醒；</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9.具备全局地址簿和热键设置，支持一键发送；</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10.站点可显示系统运行状况；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11.定位控制采用非机械接触式传感器电子智能定位；</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12.各站点供电条件满足需求使用。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16</w:t>
            </w:r>
            <w:r/>
          </w:p>
        </w:tc>
      </w:tr>
      <w:tr>
        <w:trPr>
          <w:trHeight w:val="66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1.配置载物筐，内有软垫；</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2.配置传输瓶支架。</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16</w:t>
            </w:r>
            <w:r/>
          </w:p>
        </w:tc>
      </w:tr>
      <w:tr>
        <w:trPr>
          <w:trHeight w:val="113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检验科接收平台</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1.用于频繁接收的检验科使用；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2.配套满足检验科使用需求的平台滑轨；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3.采用≥10英寸彩色液晶触摸屏；</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4.可以同时存放4个瓶子。</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65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动力系统</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1.风机电源为三相AC380V，由变频器控制；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2.配置风机减振支架，运行噪音≤70db；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3.提供专用过滤器，可防止异物进入；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4.站点使用启动停止有缓冲，平稳接收；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5.最大传输速度为8m/s，半速2-3m/s（可手动或由系统自动选择）。</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w:t>
            </w:r>
            <w:r/>
          </w:p>
        </w:tc>
      </w:tr>
      <w:tr>
        <w:trPr>
          <w:trHeight w:val="33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传输管道</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不锈钢直管</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20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不锈钢弯管</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2.管道外径为159mm，管壁厚不小于2mm；弯管的转弯半径不小于800mm；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457"/>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密封件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1.配套直管及弯管使用</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43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1.可在系统内由一主通道分支为三条通道；</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2.预留可预见的系统扩展接口；</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3.密封材料为特氟隆制成；</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4.外壳碳钢，表面喷涂；</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5.可远程查看状态，远程控制。</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330"/>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控制部分</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6"/>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系统控制电缆</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1.电缆线专用，不与任何主电源直接连接；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2.电缆线本身需有屏蔽措施以防止受外界电磁干扰。</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1452"/>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主控电源</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1.采用分部供电，集中控制，直流电源输入电压允许范围110-240VAC，50/60Hz；输出电压为≤36Vdc；</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2.电源为电子开关电源，具有防雷击、防杂波、防输出短路保护功能；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3.电源最远可传输1500米以上。</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712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系统控制软件及硬件</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1.控制软件基于windows操作系统，包括气动物流调度监控平台与气动物流信息数据平台；</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2.可实时显示当前任务状态变化，实时显示当前任务消耗的时间；</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3.任务分时段统计分析，具备当天任务统计、周任务统计、月任务统计等功能；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4.统计分析当天24小时和当月30天任务执行排布情况，并绘制运力分析统计曲线图；统计分析当日每个科室的发瓶情况，并绘制柱状图；</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5.将传输任务按子系统和路径节点拆分成若干个子路径，并分段执行，可以在监控电脑上查询每段子路径的执行情况；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6.任务执行超过设置的时间周期时，监控软件会在界面上以文字、颜色变化和弹框进行提醒，并发送短信给相关运维人员；</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7.可绑定传输瓶与科室的对应关系，当站点识别到传输瓶编号后，无需选择接收科室，自动生成传输任务将传输瓶发回到绑定的科室；</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8.设备状态监控可显示站点、三向转换器、风机、转换中心的总数及异常数量，气动管道总长度；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9.可与消防信号进行联动，当接收到消防异常信号时可关闭服务并暂停调度任务；</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10.与医院运维大数据平台进行数据对接，将物流相关信息全部可以展示在医院运维大数据平台。仅作数据提供，不做二次开发；</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11、CPU不少于十二核；内存不少于16G；硬盘采用固态和机械组合方式，不小于2T；独立显卡；液晶显示器≥23英寸；抗菌键盘；光电抗菌鼠标。</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r>
        <w:trPr>
          <w:trHeight w:val="411"/>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956"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物料架，工作台，桌椅一套。</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r>
    </w:tbl>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ind w:firstLine="422"/>
        <w:spacing w:line="360" w:lineRule="auto"/>
        <w:widowControl/>
        <w:rPr>
          <w:rFonts w:hint="eastAsia" w:ascii="仿宋" w:hAnsi="仿宋" w:eastAsia="仿宋" w:cs="仿宋"/>
          <w:bCs/>
          <w:szCs w:val="21"/>
          <w:highlight w:val="none"/>
        </w:rPr>
      </w:pPr>
      <w:r>
        <w:rPr>
          <w:rFonts w:hint="eastAsia" w:ascii="仿宋" w:hAnsi="仿宋" w:eastAsia="仿宋" w:cs="仿宋"/>
          <w:b/>
          <w:szCs w:val="21"/>
          <w:highlight w:val="none"/>
        </w:rPr>
        <w:t xml:space="preserve">设备配置需满足招标文件对于物流系统的功能要求，供应商为确保本项目物流系统功能及验收的需要可自行调整清单，但须包含以上内容；自行调整的设备及配件等应包含在投标总价中，调整的设备及配件等需列出明细。</w:t>
      </w:r>
      <w:r>
        <w:rPr>
          <w:rFonts w:hint="eastAsia" w:ascii="仿宋" w:hAnsi="仿宋" w:eastAsia="仿宋" w:cs="仿宋"/>
          <w:bCs/>
          <w:szCs w:val="21"/>
          <w:highlight w:val="none"/>
        </w:rPr>
        <w:t xml:space="preserve"> </w:t>
      </w:r>
      <w:r/>
    </w:p>
    <w:p>
      <w:pPr>
        <w:pStyle w:val="1371"/>
        <w:ind w:firstLine="422"/>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2.设备技术的指标及要求应根据采购清单在《采购需求偏离表》中逐项列出并明确偏离情况，未列出或未明确偏离情况的均视为负偏离予以扣分。</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★2.1备品及耗材基本要求</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（1）供应商应综合考虑满足本项目采购设备正常使用所需配置的备品备件及耗材，保证必要时可以及时提供，不影响采购人的正常使用，同时供应商应提供技术支持服务。</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（2）采购设备如涉及耗材、易耗零配件等的，应在投标文件中明确满足设备正常使用所需耗材等的费用比例。</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以上内容为实质性条款，供应商应在投标文件中提供承诺函，承诺函格式自拟并加盖供应商公章，但应包括并明确以上备品及耗材要求均满足或优于采购人的基本要求，否则作无效投标处理。</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2.2 采购标的需满足的服务标准、期限、效率等要求；</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等各类验收。</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包括了所有设备、技术资料、相关服务及技术指导，但在执行合同过程中如发现有任何漏项和短缺，在清单中并未列入而且确实是中标单位供货范围中应该有的，并且是满足合同技术协议对合同设备的性能保证值要求所必须的，均应由中标单位及时补上，且不发生费用问题。</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2.3 采购标的的其他技术、服务等要求；</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如有未列入招标文件，但又是本次采购货物应配置的确保正常使用和维护所必需的辅助设备和各种配件、备品备件、安装和维护所需的专用工具等的费用及中标单位认为为完成本合同内容所发生的其他所有费用均包括在本合同价款内，不再计任何额外费用。</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3.验收标准</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验收的标准：根据招标文件的有关规定及技术要求按国家相关标准、行业通行标准、厂方出厂标准和中标单位响应文件的承诺执行。</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（1）供应商需提供质保书、保修证明等书面资料，货号须与响应文件相符，并按制造和安装的标准要求检测验收。</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中标单位应将所提供货物的原厂保修卡和合格证、用户手册、装箱清单及其他随机资料及随机工具、配件等交付给采购人，中标单位不能完整交付货物及本款规定的单证的，视为未按合同约定交货，中标单位负责补齐，因此导致逾期交付的，由中标单位承担相关的违约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对货物安装验收不合格时，中标人应予以免费调换，直至符合规定，采购人不承担因调退货而发生的任何费用和责任，如因货物质量给采购人带来的损失，中标人还应赔偿采购人直接损失费用。供应商需更换合格的产品，更换设备期间不得影响正常使用。</w:t>
      </w:r>
      <w:r/>
    </w:p>
    <w:p>
      <w:pPr>
        <w:ind w:firstLine="422"/>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4．实质性要求</w:t>
      </w:r>
      <w:r/>
    </w:p>
    <w:p>
      <w:pPr>
        <w:ind w:firstLine="422"/>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（1）★供应商在投标文件中应提供投标产品的名称、规格参数、单价、品牌和生产厂商等。</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（2）★备品及耗材基本要求承诺。</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5．核心产品：智能化站点</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6.采购标的对应的中小企业划分标准所属行业一览表</w:t>
      </w:r>
      <w:r/>
    </w:p>
    <w:tbl>
      <w:tblPr>
        <w:tblStyle w:val="11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4879"/>
        <w:gridCol w:w="3181"/>
      </w:tblGrid>
      <w:tr>
        <w:trPr>
          <w:cantSplit/>
          <w:jc w:val="center"/>
          <w:trHeight w:val="454"/>
        </w:trPr>
        <w:tc>
          <w:tcPr>
            <w:tcW w:w="1126"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W w:w="4879"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采购标的</w:t>
            </w:r>
            <w:r/>
          </w:p>
        </w:tc>
        <w:tc>
          <w:tcPr>
            <w:tcW w:w="318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对应中小企业划分标准所属行业</w:t>
            </w:r>
            <w:r/>
          </w:p>
        </w:tc>
      </w:tr>
      <w:tr>
        <w:trPr>
          <w:cantSplit/>
          <w:jc w:val="center"/>
          <w:trHeight w:val="596"/>
        </w:trPr>
        <w:tc>
          <w:tcPr>
            <w:tcW w:w="1126"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4879"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新北区人民医院项目一期气动物流设备采购</w:t>
            </w:r>
            <w:r/>
          </w:p>
        </w:tc>
        <w:tc>
          <w:tcPr>
            <w:tcW w:w="318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工业</w:t>
            </w:r>
            <w:r/>
          </w:p>
        </w:tc>
      </w:tr>
    </w:tbl>
    <w:p>
      <w:pPr>
        <w:ind w:firstLine="420"/>
        <w:jc w:val="left"/>
        <w:spacing w:before="120"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按《工业和信息化部、国家统计局、国家发展和改革委员会、财政部关于印发中小企业划型标准规定的通知》（工信部联企业〔2011〕300号）规定。</w:t>
      </w:r>
      <w:r/>
    </w:p>
    <w:p>
      <w:pPr>
        <w:ind w:firstLine="422"/>
        <w:jc w:val="left"/>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7.政府采购中实施本国产品标准及相关政策</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（1）本项目对采购本国产品给予政策支持，具体内容见招标文件“第四章 评标方法与评标标准”。</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120"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rPr>
          <w:rFonts w:hint="eastAsia" w:ascii="仿宋" w:hAnsi="仿宋" w:eastAsia="仿宋" w:cs="仿宋"/>
          <w:highlight w:val="none"/>
        </w:rPr>
      </w:pPr>
      <w:r>
        <w:rPr>
          <w:rFonts w:hint="eastAsia" w:ascii="仿宋" w:hAnsi="仿宋" w:eastAsia="仿宋" w:cs="仿宋"/>
          <w:highlight w:val="none"/>
        </w:rPr>
      </w:r>
      <w:bookmarkEnd w:id="781"/>
      <w:r/>
      <w:bookmarkEnd w:id="782"/>
      <w:r/>
      <w:bookmarkEnd w:id="783"/>
      <w:r/>
      <w:bookmarkEnd w:id="784"/>
      <w:r/>
      <w:r/>
    </w:p>
    <w:p>
      <w:pPr>
        <w:pStyle w:val="1185"/>
        <w:rPr>
          <w:rStyle w:val="1243"/>
          <w:rFonts w:hint="eastAsia" w:ascii="仿宋" w:hAnsi="仿宋" w:eastAsia="仿宋" w:cs="仿宋"/>
          <w:b/>
          <w:highlight w:val="none"/>
        </w:rPr>
      </w:pPr>
      <w:r/>
      <w:bookmarkStart w:id="786" w:name="_Hlk139628515"/>
      <w:r>
        <w:rPr>
          <w:rFonts w:hint="eastAsia" w:ascii="仿宋" w:hAnsi="仿宋" w:eastAsia="仿宋" w:cs="仿宋"/>
          <w:sz w:val="28"/>
          <w:szCs w:val="28"/>
          <w:highlight w:val="none"/>
        </w:rPr>
        <w:br w:type="page" w:clear="all"/>
      </w:r>
      <w:bookmarkStart w:id="787" w:name="_Toc32511"/>
      <w:r>
        <w:rPr>
          <w:rStyle w:val="1243"/>
          <w:rFonts w:hint="eastAsia" w:ascii="仿宋" w:hAnsi="仿宋" w:eastAsia="仿宋" w:cs="仿宋"/>
          <w:b/>
          <w:highlight w:val="none"/>
        </w:rPr>
        <w:t xml:space="preserve">第六章  </w:t>
      </w:r>
      <w:bookmarkStart w:id="788" w:name="_Hlk138941606"/>
      <w:r>
        <w:rPr>
          <w:rStyle w:val="1243"/>
          <w:rFonts w:hint="eastAsia" w:ascii="仿宋" w:hAnsi="仿宋" w:eastAsia="仿宋" w:cs="仿宋"/>
          <w:b/>
          <w:highlight w:val="none"/>
        </w:rPr>
        <w:t xml:space="preserve"> </w:t>
      </w:r>
      <w:bookmarkStart w:id="789" w:name="_Hlk119591849"/>
      <w:r>
        <w:rPr>
          <w:rStyle w:val="1243"/>
          <w:rFonts w:hint="eastAsia" w:ascii="仿宋" w:hAnsi="仿宋" w:eastAsia="仿宋" w:cs="仿宋"/>
          <w:b/>
          <w:highlight w:val="none"/>
        </w:rPr>
        <w:t xml:space="preserve">拟签订的合同文本</w:t>
      </w:r>
      <w:bookmarkEnd w:id="787"/>
      <w:r/>
      <w:bookmarkEnd w:id="788"/>
      <w:r/>
      <w:bookmarkEnd w:id="789"/>
      <w:r/>
      <w:r/>
    </w:p>
    <w:p>
      <w:pPr>
        <w:pStyle w:val="1185"/>
        <w:contextualSpacing/>
        <w:ind w:firstLine="422"/>
        <w:spacing w:before="0" w:after="0" w:line="360" w:lineRule="auto"/>
        <w:rPr>
          <w:rFonts w:hint="eastAsia" w:ascii="仿宋" w:hAnsi="仿宋" w:eastAsia="仿宋" w:cs="仿宋"/>
          <w:sz w:val="21"/>
          <w:szCs w:val="21"/>
          <w:highlight w:val="none"/>
        </w:rPr>
      </w:pPr>
      <w:r/>
      <w:bookmarkStart w:id="790" w:name="_Hlk132754170"/>
      <w:r/>
      <w:bookmarkEnd w:id="786"/>
      <w:r/>
      <w:bookmarkEnd w:id="790"/>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474"/>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pStyle w:val="1474"/>
        <w:rPr>
          <w:rFonts w:hint="eastAsia" w:ascii="仿宋" w:hAnsi="仿宋" w:eastAsia="仿宋" w:cs="仿宋"/>
          <w:color w:val="auto"/>
          <w:sz w:val="36"/>
          <w:szCs w:val="36"/>
          <w:highlight w:val="none"/>
        </w:rPr>
      </w:pPr>
      <w:r>
        <w:rPr>
          <w:rFonts w:hint="eastAsia" w:ascii="仿宋" w:hAnsi="仿宋" w:eastAsia="仿宋" w:cs="仿宋"/>
          <w:b/>
          <w:bCs/>
          <w:color w:val="auto"/>
          <w:sz w:val="44"/>
          <w:szCs w:val="44"/>
          <w:highlight w:val="none"/>
        </w:rPr>
        <w:t xml:space="preserve">政府采购货物买卖合同</w:t>
      </w:r>
      <w:r/>
    </w:p>
    <w:p>
      <w:pPr>
        <w:ind w:firstLine="640"/>
        <w:rPr>
          <w:rFonts w:hint="eastAsia" w:ascii="仿宋" w:hAnsi="仿宋" w:eastAsia="仿宋" w:cs="仿宋"/>
          <w:bCs/>
          <w:spacing w:val="-20"/>
          <w:sz w:val="36"/>
          <w:szCs w:val="36"/>
          <w:highlight w:val="none"/>
        </w:rPr>
      </w:pPr>
      <w:r>
        <w:rPr>
          <w:rFonts w:hint="eastAsia" w:ascii="仿宋" w:hAnsi="仿宋" w:eastAsia="仿宋" w:cs="仿宋"/>
          <w:bCs/>
          <w:spacing w:val="-20"/>
          <w:sz w:val="36"/>
          <w:szCs w:val="36"/>
          <w:highlight w:val="none"/>
        </w:rPr>
      </w:r>
      <w:r/>
    </w:p>
    <w:p>
      <w:pPr>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ind w:firstLine="340"/>
        <w:rPr>
          <w:rFonts w:hint="eastAsia" w:ascii="仿宋" w:hAnsi="仿宋" w:eastAsia="仿宋" w:cs="仿宋"/>
          <w:bCs/>
          <w:spacing w:val="-20"/>
          <w:highlight w:val="none"/>
        </w:rPr>
      </w:pPr>
      <w:r>
        <w:rPr>
          <w:rFonts w:hint="eastAsia" w:ascii="仿宋" w:hAnsi="仿宋" w:eastAsia="仿宋" w:cs="仿宋"/>
          <w:bCs/>
          <w:spacing w:val="-20"/>
          <w:highlight w:val="none"/>
        </w:rPr>
      </w:r>
      <w:r/>
    </w:p>
    <w:p>
      <w:pPr>
        <w:ind w:left="2379" w:hanging="1680"/>
        <w:spacing w:before="435"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项目名称：新北区人民医院项目一期气动物流设备采购</w:t>
      </w:r>
      <w:r/>
    </w:p>
    <w:p>
      <w:pPr>
        <w:ind w:left="420" w:firstLine="210"/>
        <w:spacing w:before="435"/>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合同编号：</w:t>
      </w:r>
      <w:r/>
    </w:p>
    <w:p>
      <w:pPr>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方：常州国家高新技术产业开发区(新北区)卫生健康局</w:t>
      </w:r>
      <w:r/>
    </w:p>
    <w:p>
      <w:pPr>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    方： </w:t>
      </w:r>
      <w:r/>
    </w:p>
    <w:p>
      <w:pPr>
        <w:ind w:left="420" w:firstLine="210"/>
        <w:spacing w:before="435"/>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签订时间：2026年  月  日</w:t>
      </w:r>
      <w:r/>
    </w:p>
    <w:p>
      <w:pPr>
        <w:ind w:firstLine="420"/>
        <w:spacing w:before="50"/>
        <w:rPr>
          <w:rFonts w:hint="eastAsia" w:ascii="仿宋" w:hAnsi="仿宋" w:eastAsia="仿宋" w:cs="仿宋"/>
          <w:highlight w:val="none"/>
        </w:rPr>
      </w:pPr>
      <w:r>
        <w:rPr>
          <w:rFonts w:hint="eastAsia" w:ascii="仿宋" w:hAnsi="仿宋" w:eastAsia="仿宋" w:cs="仿宋"/>
          <w:highlight w:val="none"/>
        </w:rPr>
      </w:r>
      <w:r/>
    </w:p>
    <w:p>
      <w:pPr>
        <w:pStyle w:val="1473"/>
        <w:ind w:firstLine="0"/>
        <w:rPr>
          <w:rFonts w:hint="eastAsia" w:ascii="仿宋" w:hAnsi="仿宋" w:eastAsia="仿宋" w:cs="仿宋"/>
          <w:szCs w:val="21"/>
          <w:highlight w:val="none"/>
        </w:rPr>
      </w:pPr>
      <w:r>
        <w:rPr>
          <w:rFonts w:hint="eastAsia" w:ascii="仿宋" w:hAnsi="仿宋" w:eastAsia="仿宋" w:cs="仿宋"/>
          <w:szCs w:val="21"/>
          <w:highlight w:val="none"/>
        </w:rPr>
      </w:r>
      <w:r/>
    </w:p>
    <w:p>
      <w:pPr>
        <w:pStyle w:val="1186"/>
        <w:rPr>
          <w:rFonts w:hint="eastAsia" w:ascii="仿宋" w:hAnsi="仿宋" w:eastAsia="仿宋" w:cs="仿宋"/>
          <w:sz w:val="28"/>
          <w:szCs w:val="28"/>
          <w:highlight w:val="none"/>
        </w:rPr>
      </w:pPr>
      <w:r>
        <w:rPr>
          <w:rFonts w:hint="eastAsia" w:ascii="仿宋" w:hAnsi="仿宋" w:eastAsia="仿宋" w:cs="仿宋"/>
          <w:highlight w:val="none"/>
        </w:rPr>
        <w:br w:type="page" w:clear="all"/>
      </w:r>
      <w:bookmarkStart w:id="791" w:name="_Toc22209"/>
      <w:r>
        <w:rPr>
          <w:rFonts w:hint="eastAsia" w:ascii="仿宋" w:hAnsi="仿宋" w:eastAsia="仿宋" w:cs="仿宋"/>
          <w:sz w:val="28"/>
          <w:szCs w:val="28"/>
          <w:highlight w:val="none"/>
        </w:rPr>
        <w:t xml:space="preserve">第一节政府采购合同协议书</w:t>
      </w:r>
      <w:bookmarkEnd w:id="791"/>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甲方（全称）：常州国家高新技术产业开发区(新北区)卫生健康局</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乙方（全称）： </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1．项目信息</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（1）采购项目名称：新北区人民医院项目一期气动物流设备采购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采购项目编号：</w:t>
      </w:r>
      <w:r>
        <w:rPr>
          <w:rFonts w:hint="eastAsia" w:ascii="仿宋" w:hAnsi="仿宋" w:eastAsia="仿宋" w:cs="仿宋"/>
          <w:highlight w:val="none"/>
          <w:lang w:eastAsia="zh-CN"/>
        </w:rPr>
        <w:t xml:space="preserve">JSZC-320411-SCJX-G2026-0005</w:t>
      </w:r>
      <w:r>
        <w:rPr>
          <w:rFonts w:hint="eastAsia" w:ascii="仿宋" w:hAnsi="仿宋" w:eastAsia="仿宋" w:cs="仿宋"/>
          <w:highlight w:val="none"/>
        </w:rPr>
        <w:t xml:space="preserve"> </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（2）采购计划编号：</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（3）项目内容：采购标的（技术参数要求）：具体见附件清单</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（4）政府采购组织形式：</w:t>
      </w:r>
      <w:r>
        <w:rPr>
          <w:rFonts w:ascii="Wingdings" w:hAnsi="Wingdings" w:eastAsia="Wingdings" w:cs="Wingdings"/>
          <w:highlight w:val="none"/>
        </w:rPr>
        <w:t xml:space="preserve">¨</w:t>
      </w:r>
      <w:r>
        <w:rPr>
          <w:rFonts w:hint="eastAsia" w:ascii="仿宋" w:hAnsi="仿宋" w:eastAsia="仿宋" w:cs="仿宋"/>
          <w:highlight w:val="none"/>
        </w:rPr>
        <w:t xml:space="preserve">政府集中采购</w:t>
      </w:r>
      <w:r>
        <w:rPr>
          <w:rFonts w:ascii="Wingdings" w:hAnsi="Wingdings" w:eastAsia="Wingdings" w:cs="Wingdings"/>
          <w:highlight w:val="none"/>
        </w:rPr>
        <w:t xml:space="preserve">¨</w:t>
      </w:r>
      <w:r>
        <w:rPr>
          <w:rFonts w:hint="eastAsia" w:ascii="仿宋" w:hAnsi="仿宋" w:eastAsia="仿宋" w:cs="仿宋"/>
          <w:highlight w:val="none"/>
        </w:rPr>
        <w:t xml:space="preserve">部门集中采购</w:t>
      </w:r>
      <w:r>
        <w:rPr>
          <w:rFonts w:ascii="Wingdings" w:hAnsi="Wingdings" w:eastAsia="Wingdings" w:cs="Wingdings"/>
          <w:highlight w:val="none"/>
        </w:rPr>
        <w:t xml:space="preserve">þ</w:t>
      </w:r>
      <w:r>
        <w:rPr>
          <w:rFonts w:hint="eastAsia" w:ascii="仿宋" w:hAnsi="仿宋" w:eastAsia="仿宋" w:cs="仿宋"/>
          <w:highlight w:val="none"/>
        </w:rPr>
        <w:t xml:space="preserve">分散采购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w:t>
      </w:r>
      <w:r>
        <w:rPr>
          <w:rFonts w:hint="eastAsia" w:ascii="仿宋" w:hAnsi="仿宋" w:eastAsia="仿宋" w:cs="仿宋"/>
          <w:spacing w:val="-7"/>
          <w:highlight w:val="none"/>
        </w:rPr>
        <w:t xml:space="preserve">政府采购方式：</w:t>
      </w:r>
      <w:r>
        <w:rPr>
          <w:rFonts w:ascii="Wingdings" w:hAnsi="Wingdings" w:eastAsia="Wingdings" w:cs="Wingdings"/>
          <w:highlight w:val="none"/>
        </w:rPr>
        <w:t xml:space="preserve">þ</w:t>
      </w:r>
      <w:r>
        <w:rPr>
          <w:rFonts w:hint="eastAsia" w:ascii="仿宋" w:hAnsi="仿宋" w:eastAsia="仿宋" w:cs="仿宋"/>
          <w:spacing w:val="-7"/>
          <w:highlight w:val="none"/>
        </w:rPr>
        <w:t xml:space="preserve">公开招标</w:t>
      </w:r>
      <w:r>
        <w:rPr>
          <w:rFonts w:ascii="Wingdings" w:hAnsi="Wingdings" w:eastAsia="Wingdings" w:cs="Wingdings"/>
          <w:highlight w:val="none"/>
        </w:rPr>
        <w:t xml:space="preserve">¨</w:t>
      </w:r>
      <w:r>
        <w:rPr>
          <w:rFonts w:hint="eastAsia" w:ascii="仿宋" w:hAnsi="仿宋" w:eastAsia="仿宋" w:cs="仿宋"/>
          <w:spacing w:val="-7"/>
          <w:highlight w:val="none"/>
        </w:rPr>
        <w:t xml:space="preserve">邀请招标</w:t>
      </w:r>
      <w:r>
        <w:rPr>
          <w:rFonts w:ascii="Wingdings" w:hAnsi="Wingdings" w:eastAsia="Wingdings" w:cs="Wingdings"/>
          <w:highlight w:val="none"/>
        </w:rPr>
        <w:t xml:space="preserve">¨</w:t>
      </w:r>
      <w:r>
        <w:rPr>
          <w:rFonts w:hint="eastAsia" w:ascii="仿宋" w:hAnsi="仿宋" w:eastAsia="仿宋" w:cs="仿宋"/>
          <w:spacing w:val="-7"/>
          <w:highlight w:val="none"/>
        </w:rPr>
        <w:t xml:space="preserve">竞争性谈判</w:t>
      </w:r>
      <w:r>
        <w:rPr>
          <w:rFonts w:ascii="Wingdings" w:hAnsi="Wingdings" w:eastAsia="Wingdings" w:cs="Wingdings"/>
          <w:highlight w:val="none"/>
        </w:rPr>
        <w:t xml:space="preserve">¨</w:t>
      </w:r>
      <w:r>
        <w:rPr>
          <w:rFonts w:hint="eastAsia" w:ascii="仿宋" w:hAnsi="仿宋" w:eastAsia="仿宋" w:cs="仿宋"/>
          <w:highlight w:val="none"/>
        </w:rPr>
        <w:t xml:space="preserve">竞争性磋商</w:t>
      </w:r>
      <w:r>
        <w:rPr>
          <w:rFonts w:ascii="Wingdings" w:hAnsi="Wingdings" w:eastAsia="Wingdings" w:cs="Wingdings"/>
          <w:highlight w:val="none"/>
        </w:rPr>
        <w:t xml:space="preserve">¨</w:t>
      </w:r>
      <w:r>
        <w:rPr>
          <w:rFonts w:hint="eastAsia" w:ascii="仿宋" w:hAnsi="仿宋" w:eastAsia="仿宋" w:cs="仿宋"/>
          <w:highlight w:val="none"/>
        </w:rPr>
        <w:t xml:space="preserve">询价</w:t>
      </w:r>
      <w:r>
        <w:rPr>
          <w:rFonts w:ascii="Wingdings" w:hAnsi="Wingdings" w:eastAsia="Wingdings" w:cs="Wingdings"/>
          <w:highlight w:val="none"/>
        </w:rPr>
        <w:t xml:space="preserve">¨</w:t>
      </w:r>
      <w:r>
        <w:rPr>
          <w:rFonts w:hint="eastAsia" w:ascii="仿宋" w:hAnsi="仿宋" w:eastAsia="仿宋" w:cs="仿宋"/>
          <w:highlight w:val="none"/>
        </w:rPr>
        <w:t xml:space="preserve">单一来源</w:t>
      </w:r>
      <w:r>
        <w:rPr>
          <w:rFonts w:ascii="Wingdings" w:hAnsi="Wingdings" w:eastAsia="Wingdings" w:cs="Wingdings"/>
          <w:highlight w:val="none"/>
        </w:rPr>
        <w:t xml:space="preserve">¨</w:t>
      </w:r>
      <w:r>
        <w:rPr>
          <w:rFonts w:hint="eastAsia" w:ascii="仿宋" w:hAnsi="仿宋" w:eastAsia="仿宋" w:cs="仿宋"/>
          <w:highlight w:val="none"/>
        </w:rPr>
        <w:t xml:space="preserve">框架协议</w:t>
      </w:r>
      <w:r>
        <w:rPr>
          <w:rFonts w:ascii="Wingdings" w:hAnsi="Wingdings" w:eastAsia="Wingdings" w:cs="Wingdings"/>
          <w:highlight w:val="none"/>
        </w:rPr>
        <w:t xml:space="preserve">¨</w:t>
      </w:r>
      <w:r>
        <w:rPr>
          <w:rFonts w:hint="eastAsia" w:ascii="仿宋" w:hAnsi="仿宋" w:eastAsia="仿宋" w:cs="仿宋"/>
          <w:highlight w:val="none"/>
        </w:rPr>
        <w:t xml:space="preserve">其他：</w:t>
      </w:r>
      <w:r/>
    </w:p>
    <w:p>
      <w:pPr>
        <w:ind w:firstLine="380"/>
        <w:jc w:val="left"/>
        <w:spacing w:line="360" w:lineRule="auto"/>
        <w:rPr>
          <w:rFonts w:hint="eastAsia" w:ascii="仿宋" w:hAnsi="仿宋" w:eastAsia="仿宋" w:cs="仿宋"/>
          <w:spacing w:val="-10"/>
          <w:highlight w:val="none"/>
        </w:rPr>
      </w:pPr>
      <w:r>
        <w:rPr>
          <w:rFonts w:hint="eastAsia" w:ascii="仿宋" w:hAnsi="仿宋" w:eastAsia="仿宋" w:cs="仿宋"/>
          <w:spacing w:val="-10"/>
          <w:highlight w:val="none"/>
        </w:rPr>
        <w:t xml:space="preserve">（6）中标（成交）采购标的制造商是否为中小企业：</w:t>
      </w:r>
      <w:r>
        <w:rPr>
          <w:rFonts w:ascii="Wingdings" w:hAnsi="Wingdings" w:eastAsia="Wingdings" w:cs="Wingdings"/>
          <w:spacing w:val="-10"/>
          <w:highlight w:val="none"/>
        </w:rPr>
        <w:t xml:space="preserve">¨</w:t>
      </w:r>
      <w:r>
        <w:rPr>
          <w:rFonts w:hint="eastAsia" w:ascii="仿宋" w:hAnsi="仿宋" w:eastAsia="仿宋" w:cs="仿宋"/>
          <w:spacing w:val="-10"/>
          <w:highlight w:val="none"/>
        </w:rPr>
        <w:t xml:space="preserve">是</w:t>
      </w:r>
      <w:r>
        <w:rPr>
          <w:rFonts w:ascii="Wingdings" w:hAnsi="Wingdings" w:eastAsia="Wingdings" w:cs="Wingdings"/>
          <w:highlight w:val="none"/>
        </w:rPr>
        <w:t xml:space="preserve">¨</w:t>
      </w:r>
      <w:r>
        <w:rPr>
          <w:rFonts w:hint="eastAsia" w:ascii="仿宋" w:hAnsi="仿宋" w:eastAsia="仿宋" w:cs="仿宋"/>
          <w:spacing w:val="-10"/>
          <w:highlight w:val="none"/>
        </w:rPr>
        <w:t xml:space="preserve">否</w:t>
      </w:r>
      <w:r/>
    </w:p>
    <w:p>
      <w:pPr>
        <w:ind w:firstLine="420"/>
        <w:jc w:val="left"/>
        <w:spacing w:line="360" w:lineRule="auto"/>
        <w:rPr>
          <w:rFonts w:hint="eastAsia" w:ascii="仿宋" w:hAnsi="仿宋" w:eastAsia="仿宋" w:cs="仿宋"/>
          <w:iCs/>
          <w:highlight w:val="none"/>
        </w:rPr>
      </w:pPr>
      <w:r>
        <w:rPr>
          <w:rFonts w:hint="eastAsia" w:ascii="仿宋" w:hAnsi="仿宋" w:eastAsia="仿宋" w:cs="仿宋"/>
          <w:highlight w:val="none"/>
        </w:rPr>
        <w:t xml:space="preserve">本合同是否为专门面向中小企业的采购合同（中小企业预留合同）：</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highlight w:val="none"/>
        </w:rPr>
        <w:t xml:space="preserve">þ</w:t>
      </w:r>
      <w:r>
        <w:rPr>
          <w:rFonts w:hint="eastAsia" w:ascii="仿宋" w:hAnsi="仿宋" w:eastAsia="仿宋" w:cs="仿宋"/>
          <w:iCs/>
          <w:highlight w:val="none"/>
        </w:rPr>
        <w:t xml:space="preserve">否</w:t>
      </w:r>
      <w:r/>
    </w:p>
    <w:p>
      <w:pPr>
        <w:ind w:firstLine="420"/>
        <w:jc w:val="left"/>
        <w:spacing w:line="360" w:lineRule="auto"/>
        <w:rPr>
          <w:rFonts w:hint="eastAsia" w:ascii="仿宋" w:hAnsi="仿宋" w:eastAsia="仿宋" w:cs="仿宋"/>
          <w:iCs/>
          <w:highlight w:val="none"/>
        </w:rPr>
      </w:pPr>
      <w:r>
        <w:rPr>
          <w:rFonts w:hint="eastAsia" w:ascii="仿宋" w:hAnsi="仿宋" w:eastAsia="仿宋" w:cs="仿宋"/>
          <w:highlight w:val="none"/>
        </w:rPr>
        <w:t xml:space="preserve">中标（成交）采购标的制造商是否为残疾人福利性单位：</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iCs/>
          <w:highlight w:val="none"/>
        </w:rPr>
        <w:t xml:space="preserve">¨</w:t>
      </w:r>
      <w:r>
        <w:rPr>
          <w:rFonts w:hint="eastAsia" w:ascii="仿宋" w:hAnsi="仿宋" w:eastAsia="仿宋" w:cs="仿宋"/>
          <w:iCs/>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中标（成交）采购标的制造商是否为监狱企业：</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iCs/>
          <w:highlight w:val="none"/>
        </w:rPr>
        <w:t xml:space="preserve">¨</w:t>
      </w:r>
      <w:r>
        <w:rPr>
          <w:rFonts w:hint="eastAsia" w:ascii="仿宋" w:hAnsi="仿宋" w:eastAsia="仿宋" w:cs="仿宋"/>
          <w:iCs/>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（7）合同是否分包：</w:t>
      </w:r>
      <w:r>
        <w:rPr>
          <w:rFonts w:ascii="Wingdings" w:hAnsi="Wingdings" w:eastAsia="Wingdings" w:cs="Wingdings"/>
          <w:highlight w:val="none"/>
        </w:rPr>
        <w:t xml:space="preserve">¨</w:t>
      </w:r>
      <w:r>
        <w:rPr>
          <w:rFonts w:hint="eastAsia" w:ascii="仿宋" w:hAnsi="仿宋" w:eastAsia="仿宋" w:cs="仿宋"/>
          <w:iCs/>
          <w:highlight w:val="none"/>
        </w:rPr>
        <w:t xml:space="preserve">是</w:t>
      </w:r>
      <w:r>
        <w:rPr>
          <w:rFonts w:ascii="Wingdings" w:hAnsi="Wingdings" w:eastAsia="Wingdings" w:cs="Wingdings"/>
          <w:highlight w:val="none"/>
        </w:rPr>
        <w:t xml:space="preserve">þ</w:t>
      </w:r>
      <w:r>
        <w:rPr>
          <w:rFonts w:hint="eastAsia" w:ascii="仿宋" w:hAnsi="仿宋" w:eastAsia="仿宋" w:cs="仿宋"/>
          <w:iCs/>
          <w:highlight w:val="none"/>
        </w:rPr>
        <w:t xml:space="preserve">否</w:t>
      </w:r>
      <w:r/>
    </w:p>
    <w:p>
      <w:pPr>
        <w:ind w:firstLine="400"/>
        <w:jc w:val="left"/>
        <w:spacing w:line="360" w:lineRule="auto"/>
        <w:rPr>
          <w:rFonts w:hint="eastAsia" w:ascii="仿宋" w:hAnsi="仿宋" w:eastAsia="仿宋" w:cs="仿宋"/>
          <w:iCs/>
          <w:spacing w:val="-5"/>
          <w:highlight w:val="none"/>
        </w:rPr>
      </w:pPr>
      <w:r>
        <w:rPr>
          <w:rFonts w:hint="eastAsia" w:ascii="仿宋" w:hAnsi="仿宋" w:eastAsia="仿宋" w:cs="仿宋"/>
          <w:spacing w:val="-5"/>
          <w:highlight w:val="none"/>
        </w:rPr>
        <w:t xml:space="preserve">（8）中标（成交）供应商是否为外商投资企业：</w:t>
      </w:r>
      <w:r>
        <w:rPr>
          <w:rFonts w:ascii="Wingdings" w:hAnsi="Wingdings" w:eastAsia="Wingdings" w:cs="Wingdings"/>
          <w:highlight w:val="none"/>
        </w:rPr>
        <w:t xml:space="preserve">¨</w:t>
      </w:r>
      <w:r>
        <w:rPr>
          <w:rFonts w:hint="eastAsia" w:ascii="仿宋" w:hAnsi="仿宋" w:eastAsia="仿宋" w:cs="仿宋"/>
          <w:iCs/>
          <w:spacing w:val="-5"/>
          <w:highlight w:val="none"/>
        </w:rPr>
        <w:t xml:space="preserve">是</w:t>
      </w:r>
      <w:r>
        <w:rPr>
          <w:rFonts w:ascii="Wingdings" w:hAnsi="Wingdings" w:eastAsia="Wingdings" w:cs="Wingdings"/>
          <w:highlight w:val="none"/>
        </w:rPr>
        <w:t xml:space="preserve">¨</w:t>
      </w:r>
      <w:r>
        <w:rPr>
          <w:rFonts w:hint="eastAsia" w:ascii="仿宋" w:hAnsi="仿宋" w:eastAsia="仿宋" w:cs="仿宋"/>
          <w:iCs/>
          <w:spacing w:val="-5"/>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（9）是否涉及进口产品：</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þ</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（10）是否涉及节能产品：</w:t>
      </w:r>
      <w:r>
        <w:rPr>
          <w:rFonts w:ascii="Wingdings" w:hAnsi="Wingdings" w:eastAsia="Wingdings" w:cs="Wingdings"/>
          <w:highlight w:val="none"/>
        </w:rPr>
        <w:t xml:space="preserve">¨</w:t>
      </w:r>
      <w:r>
        <w:rPr>
          <w:rFonts w:hint="eastAsia" w:ascii="仿宋" w:hAnsi="仿宋" w:eastAsia="仿宋" w:cs="仿宋"/>
          <w:highlight w:val="none"/>
        </w:rPr>
        <w:t xml:space="preserve">是，</w:t>
      </w:r>
      <w:r>
        <w:rPr>
          <w:rFonts w:ascii="Wingdings" w:hAnsi="Wingdings" w:eastAsia="Wingdings" w:cs="Wingdings"/>
          <w:highlight w:val="none"/>
        </w:rPr>
        <w:t xml:space="preserve">þ</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是否涉及环境标志产品：</w:t>
      </w:r>
      <w:r/>
    </w:p>
    <w:p>
      <w:pPr>
        <w:ind w:firstLine="420"/>
        <w:jc w:val="left"/>
        <w:spacing w:line="360" w:lineRule="auto"/>
        <w:rPr>
          <w:rFonts w:hint="eastAsia" w:ascii="仿宋" w:hAnsi="仿宋" w:eastAsia="仿宋" w:cs="仿宋"/>
          <w:highlight w:val="none"/>
        </w:rPr>
      </w:pPr>
      <w:r>
        <w:rPr>
          <w:rFonts w:ascii="Wingdings" w:hAnsi="Wingdings" w:eastAsia="Wingdings" w:cs="Wingdings"/>
          <w:highlight w:val="none"/>
        </w:rPr>
        <w:t xml:space="preserve">¨</w:t>
      </w:r>
      <w:r>
        <w:rPr>
          <w:rFonts w:hint="eastAsia" w:ascii="仿宋" w:hAnsi="仿宋" w:eastAsia="仿宋" w:cs="仿宋"/>
          <w:highlight w:val="none"/>
        </w:rPr>
        <w:t xml:space="preserve">是，《环境标志产品政府采购品目清单》的底级品目名称：</w:t>
      </w:r>
      <w:r/>
    </w:p>
    <w:p>
      <w:pPr>
        <w:ind w:firstLine="420"/>
        <w:jc w:val="left"/>
        <w:spacing w:line="360" w:lineRule="auto"/>
        <w:rPr>
          <w:rFonts w:hint="eastAsia" w:ascii="仿宋" w:hAnsi="仿宋" w:eastAsia="仿宋" w:cs="仿宋"/>
          <w:highlight w:val="none"/>
        </w:rPr>
      </w:pPr>
      <w:r>
        <w:rPr>
          <w:rFonts w:ascii="Wingdings" w:hAnsi="Wingdings" w:eastAsia="Wingdings" w:cs="Wingdings"/>
          <w:highlight w:val="none"/>
        </w:rPr>
        <w:t xml:space="preserve">¨</w:t>
      </w:r>
      <w:r>
        <w:rPr>
          <w:rFonts w:hint="eastAsia" w:ascii="仿宋" w:hAnsi="仿宋" w:eastAsia="仿宋" w:cs="仿宋"/>
          <w:iCs/>
          <w:highlight w:val="none"/>
        </w:rPr>
        <w:t xml:space="preserve">强制采购</w:t>
      </w:r>
      <w:r>
        <w:rPr>
          <w:rFonts w:ascii="Wingdings" w:hAnsi="Wingdings" w:eastAsia="Wingdings" w:cs="Wingdings"/>
          <w:iCs/>
          <w:highlight w:val="none"/>
        </w:rPr>
        <w:t xml:space="preserve">¨</w:t>
      </w:r>
      <w:r>
        <w:rPr>
          <w:rFonts w:hint="eastAsia" w:ascii="仿宋" w:hAnsi="仿宋" w:eastAsia="仿宋" w:cs="仿宋"/>
          <w:iCs/>
          <w:highlight w:val="none"/>
        </w:rPr>
        <w:t xml:space="preserve">优先采购</w:t>
      </w:r>
      <w:r>
        <w:rPr>
          <w:rFonts w:ascii="Wingdings" w:hAnsi="Wingdings" w:eastAsia="Wingdings" w:cs="Wingdings"/>
          <w:highlight w:val="none"/>
        </w:rPr>
        <w:t xml:space="preserve">þ</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（11）涉及商品包装和快递包装的，是否参考《商品包装政府采购需求标准（试行）》、《快递包装政府采购需求标准（试行）》明确产品及相关快递服务的具体包装要求：</w:t>
      </w:r>
      <w:r>
        <w:rPr>
          <w:rFonts w:ascii="Wingdings" w:hAnsi="Wingdings" w:eastAsia="Wingdings" w:cs="Wingdings"/>
          <w:highlight w:val="none"/>
        </w:rPr>
        <w:t xml:space="preserve">þ</w:t>
      </w:r>
      <w:r>
        <w:rPr>
          <w:rFonts w:hint="eastAsia" w:ascii="仿宋" w:hAnsi="仿宋" w:eastAsia="仿宋" w:cs="仿宋"/>
          <w:highlight w:val="none"/>
        </w:rPr>
        <w:t xml:space="preserve">是</w:t>
      </w:r>
      <w:r>
        <w:rPr>
          <w:rFonts w:ascii="Wingdings" w:hAnsi="Wingdings" w:eastAsia="Wingdings" w:cs="Wingdings"/>
          <w:highlight w:val="none"/>
        </w:rPr>
        <w:t xml:space="preserve">¨</w:t>
      </w:r>
      <w:r>
        <w:rPr>
          <w:rFonts w:hint="eastAsia" w:ascii="仿宋" w:hAnsi="仿宋" w:eastAsia="仿宋" w:cs="仿宋"/>
          <w:highlight w:val="none"/>
        </w:rPr>
        <w:t xml:space="preserve">否</w:t>
      </w:r>
      <w:r>
        <w:rPr>
          <w:rFonts w:ascii="Wingdings" w:hAnsi="Wingdings" w:eastAsia="Wingdings" w:cs="Wingdings"/>
          <w:highlight w:val="none"/>
        </w:rPr>
        <w:t xml:space="preserve">¨</w:t>
      </w:r>
      <w:r>
        <w:rPr>
          <w:rFonts w:hint="eastAsia" w:ascii="仿宋" w:hAnsi="仿宋" w:eastAsia="仿宋" w:cs="仿宋"/>
          <w:highlight w:val="none"/>
        </w:rPr>
        <w:t xml:space="preserve">不涉及</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2．合同金额</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（1）签约合同金额小写：   元；大写：   </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（2）合同定价方式（采用组合定价方式的，可以勾选多项）：</w:t>
      </w:r>
      <w:r/>
    </w:p>
    <w:p>
      <w:pPr>
        <w:ind w:firstLine="420"/>
        <w:jc w:val="left"/>
        <w:spacing w:line="360" w:lineRule="auto"/>
        <w:rPr>
          <w:rFonts w:hint="eastAsia" w:ascii="仿宋" w:hAnsi="仿宋" w:eastAsia="仿宋" w:cs="仿宋"/>
          <w:highlight w:val="none"/>
        </w:rPr>
      </w:pPr>
      <w:r>
        <w:rPr>
          <w:rFonts w:ascii="Wingdings" w:hAnsi="Wingdings" w:eastAsia="Wingdings" w:cs="Wingdings"/>
          <w:iCs/>
          <w:highlight w:val="none"/>
        </w:rPr>
        <w:t xml:space="preserve">¨</w:t>
      </w:r>
      <w:r>
        <w:rPr>
          <w:rFonts w:hint="eastAsia" w:ascii="仿宋" w:hAnsi="仿宋" w:eastAsia="仿宋" w:cs="仿宋"/>
          <w:iCs/>
          <w:highlight w:val="none"/>
        </w:rPr>
        <w:t xml:space="preserve">固定总价</w:t>
      </w:r>
      <w:r>
        <w:rPr>
          <w:rFonts w:ascii="Wingdings" w:hAnsi="Wingdings" w:eastAsia="Wingdings" w:cs="Wingdings"/>
          <w:iCs/>
          <w:highlight w:val="none"/>
        </w:rPr>
        <w:t xml:space="preserve">þ</w:t>
      </w:r>
      <w:r>
        <w:rPr>
          <w:rFonts w:hint="eastAsia" w:ascii="仿宋" w:hAnsi="仿宋" w:eastAsia="仿宋" w:cs="仿宋"/>
          <w:iCs/>
          <w:highlight w:val="none"/>
        </w:rPr>
        <w:t xml:space="preserve">固定单价</w:t>
      </w:r>
      <w:r>
        <w:rPr>
          <w:rFonts w:ascii="Wingdings" w:hAnsi="Wingdings" w:eastAsia="Wingdings" w:cs="Wingdings"/>
          <w:highlight w:val="none"/>
        </w:rPr>
        <w:t xml:space="preserve">¨</w:t>
      </w:r>
      <w:r>
        <w:rPr>
          <w:rFonts w:hint="eastAsia" w:ascii="仿宋" w:hAnsi="仿宋" w:eastAsia="仿宋" w:cs="仿宋"/>
          <w:iCs/>
          <w:highlight w:val="none"/>
        </w:rPr>
        <w:t xml:space="preserve">固定费率</w:t>
      </w:r>
      <w:r>
        <w:rPr>
          <w:rFonts w:ascii="Wingdings" w:hAnsi="Wingdings" w:eastAsia="Wingdings" w:cs="Wingdings"/>
          <w:highlight w:val="none"/>
        </w:rPr>
        <w:t xml:space="preserve">¨</w:t>
      </w:r>
      <w:r>
        <w:rPr>
          <w:rFonts w:hint="eastAsia" w:ascii="仿宋" w:hAnsi="仿宋" w:eastAsia="仿宋" w:cs="仿宋"/>
          <w:iCs/>
          <w:highlight w:val="none"/>
        </w:rPr>
        <w:t xml:space="preserve">成本补偿</w:t>
      </w:r>
      <w:r>
        <w:rPr>
          <w:rFonts w:ascii="Wingdings" w:hAnsi="Wingdings" w:eastAsia="Wingdings" w:cs="Wingdings"/>
          <w:highlight w:val="none"/>
        </w:rPr>
        <w:t xml:space="preserve">¨</w:t>
      </w:r>
      <w:r>
        <w:rPr>
          <w:rFonts w:hint="eastAsia" w:ascii="仿宋" w:hAnsi="仿宋" w:eastAsia="仿宋" w:cs="仿宋"/>
          <w:iCs/>
          <w:highlight w:val="none"/>
        </w:rPr>
        <w:t xml:space="preserve">绩效激励</w:t>
      </w:r>
      <w:r>
        <w:rPr>
          <w:rFonts w:ascii="Wingdings" w:hAnsi="Wingdings" w:eastAsia="Wingdings" w:cs="Wingdings"/>
          <w:highlight w:val="none"/>
        </w:rPr>
        <w:t xml:space="preserve">¨</w:t>
      </w:r>
      <w:r>
        <w:rPr>
          <w:rFonts w:hint="eastAsia" w:ascii="仿宋" w:hAnsi="仿宋" w:eastAsia="仿宋" w:cs="仿宋"/>
          <w:iCs/>
          <w:highlight w:val="none"/>
        </w:rPr>
        <w:t xml:space="preserve">其他</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（3）付款方式：</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1）本合同为固定</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合同；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2）本项目以人民币付款；</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3）乙方在合同签订前向甲方提供签约合同价5%的履约保证金（履约担保的形式：现金或银行保函），履约结束后30个工作日内无息退还乙方。</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4）预付款支付时间：合同签订生效后；预付款支付比例：签约合同金额的30%；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5）进度款支付时间：全部设备完成安装调试合格后；进度款支付比例：支付至签约合同金额的70%；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6）结算款支付时间：所有设备投入使用正常运行三个月并经履约验收合格及结算审定完成后；结算款支付比例：支付至审定金额的100%。</w:t>
      </w:r>
      <w:r/>
    </w:p>
    <w:p>
      <w:pPr>
        <w:ind w:firstLine="404"/>
        <w:jc w:val="left"/>
        <w:spacing w:line="360" w:lineRule="auto"/>
        <w:rPr>
          <w:rFonts w:hint="eastAsia" w:ascii="仿宋" w:hAnsi="仿宋" w:eastAsia="仿宋" w:cs="仿宋"/>
          <w:spacing w:val="-4"/>
          <w:szCs w:val="21"/>
          <w:highlight w:val="none"/>
        </w:rPr>
      </w:pPr>
      <w:r>
        <w:rPr>
          <w:rFonts w:hint="eastAsia" w:ascii="仿宋" w:hAnsi="仿宋" w:eastAsia="仿宋" w:cs="仿宋"/>
          <w:spacing w:val="-4"/>
          <w:szCs w:val="21"/>
          <w:highlight w:val="none"/>
        </w:rPr>
        <w:t xml:space="preserve">满足合同约定支付条件的，自收到发票后支付。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付款时乙方提供符合规定及甲方要求的增值税专用发票。</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3．合同履行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（1）起始日期：</w:t>
      </w:r>
      <w:r>
        <w:rPr>
          <w:rFonts w:hint="eastAsia" w:ascii="仿宋" w:hAnsi="仿宋" w:eastAsia="仿宋" w:cs="仿宋"/>
          <w:szCs w:val="21"/>
          <w:highlight w:val="none"/>
        </w:rPr>
        <w:t xml:space="preserve">接甲方通知后180日内完成供货、安装，于2027年12月25日前完成调试、验收合格并具备使用条件，且不得影响项目整体竣工验收</w:t>
      </w:r>
      <w:r>
        <w:rPr>
          <w:rFonts w:hint="eastAsia" w:ascii="仿宋" w:hAnsi="仿宋" w:eastAsia="仿宋" w:cs="仿宋"/>
          <w:highlight w:val="none"/>
        </w:rPr>
        <w:t xml:space="preserve">；</w:t>
      </w:r>
      <w:r>
        <w:rPr>
          <w:rFonts w:hint="eastAsia" w:ascii="仿宋" w:hAnsi="仿宋" w:eastAsia="仿宋" w:cs="仿宋"/>
          <w:szCs w:val="21"/>
          <w:highlight w:val="none"/>
        </w:rPr>
        <w:t xml:space="preserve">甲方要求分批供货及安装的，乙方应配合实施</w:t>
      </w:r>
      <w:r>
        <w:rPr>
          <w:rFonts w:hint="eastAsia" w:ascii="仿宋" w:hAnsi="仿宋" w:eastAsia="仿宋" w:cs="仿宋"/>
          <w:highlight w:val="none"/>
        </w:rPr>
        <w:t xml:space="preserve">。</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（2）履约地点</w:t>
      </w:r>
      <w:r>
        <w:rPr>
          <w:rFonts w:hint="eastAsia" w:ascii="仿宋" w:hAnsi="仿宋" w:eastAsia="仿宋" w:cs="仿宋"/>
          <w:bCs/>
          <w:highlight w:val="none"/>
        </w:rPr>
        <w:t xml:space="preserve">：</w:t>
      </w:r>
      <w:r>
        <w:rPr>
          <w:rFonts w:hint="eastAsia" w:ascii="仿宋" w:hAnsi="仿宋" w:eastAsia="仿宋" w:cs="仿宋"/>
          <w:sz w:val="22"/>
          <w:szCs w:val="22"/>
          <w:highlight w:val="none"/>
        </w:rPr>
        <w:t xml:space="preserve">新北区人民医院项目一期工地（常州市新北区，长江路以西、乐山路以东、嫩江路以北地块）</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bCs/>
          <w:highlight w:val="none"/>
        </w:rPr>
        <w:t xml:space="preserve">（3）履约担保：</w:t>
      </w:r>
      <w:r>
        <w:rPr>
          <w:rFonts w:hint="eastAsia" w:ascii="仿宋" w:hAnsi="仿宋" w:eastAsia="仿宋" w:cs="仿宋"/>
          <w:highlight w:val="none"/>
        </w:rPr>
        <w:t xml:space="preserve">是否收取履约保证金：</w:t>
      </w:r>
      <w:r>
        <w:rPr>
          <w:rFonts w:ascii="Wingdings" w:hAnsi="Wingdings" w:eastAsia="Wingdings" w:cs="Wingdings"/>
          <w:highlight w:val="none"/>
        </w:rPr>
        <w:t xml:space="preserve">þ</w:t>
      </w:r>
      <w:r>
        <w:rPr>
          <w:rFonts w:hint="eastAsia" w:ascii="仿宋" w:hAnsi="仿宋" w:eastAsia="仿宋" w:cs="仿宋"/>
          <w:highlight w:val="none"/>
        </w:rPr>
        <w:t xml:space="preserve">是</w:t>
      </w:r>
      <w:r>
        <w:rPr>
          <w:rFonts w:ascii="Wingdings" w:hAnsi="Wingdings" w:eastAsia="Wingdings" w:cs="Wingdings"/>
          <w:highlight w:val="none"/>
        </w:rPr>
        <w:t xml:space="preserve">¨</w:t>
      </w:r>
      <w:r>
        <w:rPr>
          <w:rFonts w:hint="eastAsia" w:ascii="仿宋" w:hAnsi="仿宋" w:eastAsia="仿宋" w:cs="仿宋"/>
          <w:highlight w:val="none"/>
        </w:rPr>
        <w:t xml:space="preserve">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4．合同验收</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（1）验收组织方式：</w:t>
      </w:r>
      <w:r>
        <w:rPr>
          <w:rFonts w:ascii="Wingdings" w:hAnsi="Wingdings" w:eastAsia="Wingdings" w:cs="Wingdings"/>
          <w:highlight w:val="none"/>
        </w:rPr>
        <w:t xml:space="preserve">þ</w:t>
      </w:r>
      <w:r>
        <w:rPr>
          <w:rFonts w:hint="eastAsia" w:ascii="仿宋" w:hAnsi="仿宋" w:eastAsia="仿宋" w:cs="仿宋"/>
          <w:bCs/>
          <w:highlight w:val="none"/>
        </w:rPr>
        <w:t xml:space="preserve">自行组织</w:t>
      </w:r>
      <w:r>
        <w:rPr>
          <w:rFonts w:ascii="Wingdings" w:hAnsi="Wingdings" w:eastAsia="Wingdings" w:cs="Wingdings"/>
          <w:highlight w:val="none"/>
        </w:rPr>
        <w:t xml:space="preserve">¨</w:t>
      </w:r>
      <w:r>
        <w:rPr>
          <w:rFonts w:hint="eastAsia" w:ascii="仿宋" w:hAnsi="仿宋" w:eastAsia="仿宋" w:cs="仿宋"/>
          <w:bCs/>
          <w:highlight w:val="none"/>
        </w:rPr>
        <w:t xml:space="preserve">委托第三方组织</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验收主体：甲方自行组织</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验收组织的其他事项：</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（2）履约验收时间：</w:t>
      </w:r>
      <w:r>
        <w:rPr>
          <w:rFonts w:hint="eastAsia" w:ascii="仿宋" w:hAnsi="仿宋" w:eastAsia="仿宋" w:cs="仿宋"/>
          <w:bCs/>
          <w:highlight w:val="none"/>
          <w:u w:val="single"/>
        </w:rPr>
        <w:t xml:space="preserve">乙方提出验收申请之日起10日内组织验收</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（3）履约验收方式：</w:t>
      </w:r>
      <w:r>
        <w:rPr>
          <w:rFonts w:ascii="Wingdings" w:hAnsi="Wingdings" w:eastAsia="Wingdings" w:cs="Wingdings"/>
          <w:highlight w:val="none"/>
        </w:rPr>
        <w:t xml:space="preserve">þ</w:t>
      </w:r>
      <w:r>
        <w:rPr>
          <w:rFonts w:hint="eastAsia" w:ascii="仿宋" w:hAnsi="仿宋" w:eastAsia="仿宋" w:cs="仿宋"/>
          <w:bCs/>
          <w:highlight w:val="none"/>
        </w:rPr>
        <w:t xml:space="preserve">一次性验收</w:t>
      </w:r>
      <w:r>
        <w:rPr>
          <w:rFonts w:ascii="Wingdings" w:hAnsi="Wingdings" w:eastAsia="Wingdings" w:cs="Wingdings"/>
          <w:highlight w:val="none"/>
        </w:rPr>
        <w:t xml:space="preserve">¨</w:t>
      </w:r>
      <w:r>
        <w:rPr>
          <w:rFonts w:hint="eastAsia" w:ascii="仿宋" w:hAnsi="仿宋" w:eastAsia="仿宋" w:cs="仿宋"/>
          <w:bCs/>
          <w:highlight w:val="none"/>
        </w:rPr>
        <w:t xml:space="preserve">分期/分项验收：</w:t>
      </w:r>
      <w:r>
        <w:rPr>
          <w:rFonts w:hint="eastAsia" w:ascii="仿宋" w:hAnsi="仿宋" w:eastAsia="仿宋" w:cs="仿宋"/>
          <w:bCs/>
          <w:highlight w:val="none"/>
          <w:u w:val="single"/>
        </w:rPr>
        <w:t xml:space="preserve">（应明确分期/分项验收的工作安排）</w:t>
      </w:r>
      <w:r/>
    </w:p>
    <w:p>
      <w:pPr>
        <w:ind w:firstLine="420"/>
        <w:jc w:val="left"/>
        <w:spacing w:line="360" w:lineRule="auto"/>
        <w:rPr>
          <w:rFonts w:hint="eastAsia" w:ascii="仿宋" w:hAnsi="仿宋" w:eastAsia="仿宋" w:cs="仿宋"/>
          <w:bCs/>
          <w:highlight w:val="none"/>
        </w:rPr>
      </w:pPr>
      <w:r>
        <w:rPr>
          <w:rFonts w:hint="eastAsia" w:ascii="仿宋" w:hAnsi="仿宋" w:eastAsia="仿宋" w:cs="仿宋"/>
          <w:bCs/>
          <w:highlight w:val="none"/>
        </w:rPr>
        <w:t xml:space="preserve">（4）履约验收程序：双方另行确定</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（5）履约验收的内容：</w:t>
      </w:r>
      <w:r>
        <w:rPr>
          <w:rFonts w:hint="eastAsia" w:ascii="仿宋" w:hAnsi="仿宋" w:eastAsia="仿宋" w:cs="仿宋"/>
          <w:bCs/>
          <w:highlight w:val="none"/>
          <w:u w:val="single"/>
        </w:rPr>
        <w:t xml:space="preserve">包括每一项技术和商务要求的履约情况</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（6）履约验收标准：按现行政府采购政策及本项目合同执行</w:t>
      </w:r>
      <w:r/>
    </w:p>
    <w:p>
      <w:pPr>
        <w:ind w:firstLine="420"/>
        <w:jc w:val="left"/>
        <w:spacing w:line="360" w:lineRule="auto"/>
        <w:rPr>
          <w:rFonts w:hint="eastAsia" w:ascii="仿宋" w:hAnsi="仿宋" w:eastAsia="仿宋" w:cs="仿宋"/>
          <w:spacing w:val="-10"/>
          <w:highlight w:val="none"/>
        </w:rPr>
      </w:pPr>
      <w:r>
        <w:rPr>
          <w:rFonts w:hint="eastAsia" w:ascii="仿宋" w:hAnsi="仿宋" w:eastAsia="仿宋" w:cs="仿宋"/>
          <w:bCs/>
          <w:highlight w:val="none"/>
        </w:rPr>
        <w:t xml:space="preserve">（7）</w:t>
      </w:r>
      <w:r>
        <w:rPr>
          <w:rFonts w:hint="eastAsia" w:ascii="仿宋" w:hAnsi="仿宋" w:eastAsia="仿宋" w:cs="仿宋"/>
          <w:bCs/>
          <w:spacing w:val="-10"/>
          <w:highlight w:val="none"/>
        </w:rPr>
        <w:t xml:space="preserve">是否以采购活动中供应商提供的样品作为参考：</w:t>
      </w:r>
      <w:r>
        <w:rPr>
          <w:rFonts w:ascii="Wingdings" w:hAnsi="Wingdings" w:eastAsia="Wingdings" w:cs="Wingdings"/>
          <w:highlight w:val="none"/>
        </w:rPr>
        <w:t xml:space="preserve">¨</w:t>
      </w:r>
      <w:r>
        <w:rPr>
          <w:rFonts w:hint="eastAsia" w:ascii="仿宋" w:hAnsi="仿宋" w:eastAsia="仿宋" w:cs="仿宋"/>
          <w:bCs/>
          <w:spacing w:val="-10"/>
          <w:highlight w:val="none"/>
        </w:rPr>
        <w:t xml:space="preserve">是</w:t>
      </w:r>
      <w:r>
        <w:rPr>
          <w:rFonts w:ascii="Wingdings" w:hAnsi="Wingdings" w:eastAsia="Wingdings" w:cs="Wingdings"/>
          <w:highlight w:val="none"/>
        </w:rPr>
        <w:t xml:space="preserve">þ</w:t>
      </w:r>
      <w:r>
        <w:rPr>
          <w:rFonts w:hint="eastAsia" w:ascii="仿宋" w:hAnsi="仿宋" w:eastAsia="仿宋" w:cs="仿宋"/>
          <w:bCs/>
          <w:spacing w:val="-10"/>
          <w:highlight w:val="none"/>
        </w:rPr>
        <w:t xml:space="preserve">否</w:t>
      </w:r>
      <w:r/>
    </w:p>
    <w:p>
      <w:pPr>
        <w:ind w:firstLine="420"/>
        <w:jc w:val="left"/>
        <w:spacing w:line="360" w:lineRule="auto"/>
        <w:rPr>
          <w:rFonts w:hint="eastAsia" w:ascii="仿宋" w:hAnsi="仿宋" w:eastAsia="仿宋" w:cs="仿宋"/>
          <w:bCs/>
          <w:highlight w:val="none"/>
          <w:u w:val="single"/>
        </w:rPr>
      </w:pPr>
      <w:r>
        <w:rPr>
          <w:rFonts w:hint="eastAsia" w:ascii="仿宋" w:hAnsi="仿宋" w:eastAsia="仿宋" w:cs="仿宋"/>
          <w:bCs/>
          <w:highlight w:val="none"/>
        </w:rPr>
        <w:t xml:space="preserve">（8）履约验收其他事项：</w:t>
      </w:r>
      <w:r>
        <w:rPr>
          <w:rFonts w:hint="eastAsia" w:ascii="仿宋" w:hAnsi="仿宋" w:eastAsia="仿宋" w:cs="仿宋"/>
          <w:bCs/>
          <w:highlight w:val="none"/>
          <w:u w:val="single"/>
        </w:rPr>
        <w:t xml:space="preserve">无</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5．组成合同的文件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本协议书与下列文件一起构成合同文件，如下述文件之间有任何抵触、矛盾或歧义，应按以下顺序解释：</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（1）政府采购合同协议书及其变更、补充协议</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（2）政府采购合同专用条款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（3）政府采购合同通用条款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（4）中标（成交）通知书</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（5）投标（响应）文件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（6）采购文件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（7）有关技术文件，图纸</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（8）国家法律、行政法规和规章制度规定或合同约定的作为合同组成部分的其他文件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合同生效</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本合同自双方签字盖章之日起生效。</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合同份数</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本合同一式陆份，甲方执肆份，乙方执贰份，均具有同等法律效力。</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合同订立时间：2026年   月   日</w:t>
      </w:r>
      <w:r/>
    </w:p>
    <w:p>
      <w:pPr>
        <w:ind w:firstLine="420"/>
        <w:jc w:val="left"/>
        <w:spacing w:line="360" w:lineRule="auto"/>
        <w:rPr>
          <w:rFonts w:hint="eastAsia" w:ascii="仿宋" w:hAnsi="仿宋" w:eastAsia="仿宋" w:cs="仿宋"/>
          <w:highlight w:val="none"/>
          <w:u w:val="single"/>
        </w:rPr>
      </w:pPr>
      <w:r>
        <w:rPr>
          <w:rFonts w:hint="eastAsia" w:ascii="仿宋" w:hAnsi="仿宋" w:eastAsia="仿宋" w:cs="仿宋"/>
          <w:highlight w:val="none"/>
        </w:rPr>
        <w:t xml:space="preserve">合同订立地点：常州市新北区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附件：具体标的及其技术要求</w:t>
      </w:r>
      <w:r/>
    </w:p>
    <w:tbl>
      <w:tblPr>
        <w:tblStyle w:val="1195"/>
        <w:tblW w:w="4854"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2709"/>
        <w:gridCol w:w="2311"/>
        <w:gridCol w:w="2620"/>
      </w:tblGrid>
      <w:tr>
        <w:trPr>
          <w:trHeight w:val="359"/>
        </w:trPr>
        <w:tc>
          <w:tcPr>
            <w:gridSpan w:val="2"/>
            <w:tcBorders>
              <w:bottom w:val="single" w:color="000000" w:sz="2" w:space="0"/>
              <w:right w:val="single" w:color="000000" w:sz="2" w:space="0"/>
            </w:tcBorders>
            <w:tcW w:w="2423"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甲方</w:t>
            </w:r>
            <w:r/>
          </w:p>
        </w:tc>
        <w:tc>
          <w:tcPr>
            <w:gridSpan w:val="2"/>
            <w:tcBorders>
              <w:left w:val="single" w:color="000000" w:sz="2" w:space="0"/>
              <w:bottom w:val="single" w:color="000000" w:sz="2" w:space="0"/>
            </w:tcBorders>
            <w:tcW w:w="257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乙方</w:t>
            </w:r>
            <w:r/>
          </w:p>
        </w:tc>
      </w:tr>
      <w:tr>
        <w:trPr>
          <w:trHeight w:val="700"/>
        </w:trPr>
        <w:tc>
          <w:tcPr>
            <w:tcBorders>
              <w:top w:val="single" w:color="000000" w:sz="2" w:space="0"/>
              <w:bottom w:val="single" w:color="000000" w:sz="2" w:space="0"/>
              <w:right w:val="single" w:color="000000" w:sz="2" w:space="0"/>
            </w:tcBorders>
            <w:tcMar>
              <w:left w:w="0" w:type="dxa"/>
              <w:right w:w="0" w:type="dxa"/>
            </w:tcMar>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单位名称</w:t>
            </w:r>
            <w:r/>
          </w:p>
          <w:p>
            <w:pPr>
              <w:jc w:val="center"/>
              <w:rPr>
                <w:rFonts w:hint="eastAsia" w:ascii="仿宋" w:hAnsi="仿宋" w:eastAsia="仿宋" w:cs="仿宋"/>
                <w:spacing w:val="-20"/>
                <w:highlight w:val="none"/>
              </w:rPr>
            </w:pPr>
            <w:r>
              <w:rPr>
                <w:rFonts w:hint="eastAsia" w:ascii="仿宋" w:hAnsi="仿宋" w:eastAsia="仿宋" w:cs="仿宋"/>
                <w:spacing w:val="-20"/>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常州国家高新技术产业开发区(新北区)卫生健康局</w:t>
            </w:r>
            <w:r/>
          </w:p>
        </w:tc>
        <w:tc>
          <w:tcPr>
            <w:tcBorders>
              <w:top w:val="single" w:color="000000" w:sz="2" w:space="0"/>
              <w:left w:val="single" w:color="000000" w:sz="2" w:space="0"/>
              <w:bottom w:val="single" w:color="000000" w:sz="2" w:space="0"/>
              <w:right w:val="single" w:color="000000" w:sz="2" w:space="0"/>
            </w:tcBorders>
            <w:tcMar>
              <w:left w:w="0" w:type="dxa"/>
              <w:right w:w="0" w:type="dxa"/>
            </w:tcMar>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单位名称</w:t>
            </w:r>
            <w:r/>
          </w:p>
          <w:p>
            <w:pPr>
              <w:jc w:val="center"/>
              <w:rPr>
                <w:rFonts w:hint="eastAsia" w:ascii="仿宋" w:hAnsi="仿宋" w:eastAsia="仿宋" w:cs="仿宋"/>
                <w:spacing w:val="-20"/>
                <w:highlight w:val="none"/>
              </w:rPr>
            </w:pPr>
            <w:r>
              <w:rPr>
                <w:rFonts w:hint="eastAsia" w:ascii="仿宋" w:hAnsi="仿宋" w:eastAsia="仿宋" w:cs="仿宋"/>
                <w:spacing w:val="-20"/>
                <w:highlight w:val="none"/>
              </w:rPr>
              <w:t xml:space="preserve">（公章或合同章）</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cantSplit/>
          <w:trHeight w:val="700"/>
        </w:trPr>
        <w:tc>
          <w:tcPr>
            <w:tcBorders>
              <w:top w:val="single" w:color="000000" w:sz="2" w:space="0"/>
              <w:right w:val="single" w:color="000000" w:sz="2" w:space="0"/>
            </w:tcBorders>
            <w:tcW w:w="1007" w:type="pct"/>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法定代表人或</w:t>
            </w:r>
            <w:r/>
          </w:p>
          <w:p>
            <w:pPr>
              <w:jc w:val="center"/>
              <w:rPr>
                <w:rFonts w:hint="eastAsia" w:ascii="仿宋" w:hAnsi="仿宋" w:eastAsia="仿宋" w:cs="仿宋"/>
                <w:highlight w:val="none"/>
              </w:rPr>
            </w:pPr>
            <w:r>
              <w:rPr>
                <w:rFonts w:hint="eastAsia" w:ascii="仿宋" w:hAnsi="仿宋" w:eastAsia="仿宋" w:cs="仿宋"/>
                <w:highlight w:val="none"/>
              </w:rPr>
              <w:t xml:space="preserve">其委托代理人</w:t>
            </w:r>
            <w:r/>
          </w:p>
          <w:p>
            <w:pPr>
              <w:jc w:val="center"/>
              <w:rPr>
                <w:rFonts w:hint="eastAsia" w:ascii="仿宋" w:hAnsi="仿宋" w:eastAsia="仿宋" w:cs="仿宋"/>
                <w:highlight w:val="none"/>
              </w:rPr>
            </w:pPr>
            <w:r>
              <w:rPr>
                <w:rFonts w:hint="eastAsia" w:ascii="仿宋" w:hAnsi="仿宋" w:eastAsia="仿宋" w:cs="仿宋"/>
                <w:highlight w:val="none"/>
              </w:rPr>
              <w:t xml:space="preserve">（签章）</w:t>
            </w:r>
            <w:r/>
          </w:p>
        </w:tc>
        <w:tc>
          <w:tcPr>
            <w:tcBorders>
              <w:top w:val="single" w:color="000000" w:sz="2" w:space="0"/>
              <w:left w:val="single" w:color="000000" w:sz="2" w:space="0"/>
              <w:right w:val="single" w:color="000000" w:sz="2" w:space="0"/>
            </w:tcBorders>
            <w:tcW w:w="1416" w:type="pct"/>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法定代表人或其委托代理人（签章）</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r>
      <w:tr>
        <w:trPr>
          <w:cantSplit/>
          <w:trHeight w:val="353"/>
        </w:trPr>
        <w:tc>
          <w:tcPr>
            <w:tcBorders>
              <w:bottom w:val="single" w:color="000000" w:sz="2" w:space="0"/>
              <w:right w:val="single" w:color="000000" w:sz="2" w:space="0"/>
            </w:tcBorders>
            <w:tcW w:w="1007" w:type="pct"/>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000000" w:sz="2" w:space="0"/>
              <w:bottom w:val="single" w:color="000000" w:sz="2" w:space="0"/>
              <w:right w:val="single" w:color="000000" w:sz="2" w:space="0"/>
            </w:tcBorders>
            <w:tcW w:w="1416" w:type="pct"/>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拥有者性别</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住  所</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住  所</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 系 人</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联系电话</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通信地址</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邮政编码</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电子邮箱</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90"/>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统一社会信用代码</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2"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2"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开户名称</w:t>
            </w:r>
            <w:r/>
          </w:p>
        </w:tc>
        <w:tc>
          <w:tcPr>
            <w:tcBorders>
              <w:top w:val="single" w:color="000000" w:sz="2" w:space="0"/>
              <w:left w:val="single" w:color="000000" w:sz="2" w:space="0"/>
              <w:bottom w:val="single" w:color="000000" w:sz="2"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3"/>
        </w:trPr>
        <w:tc>
          <w:tcPr>
            <w:tcBorders>
              <w:top w:val="single" w:color="000000" w:sz="2" w:space="0"/>
              <w:bottom w:val="single" w:color="000000" w:sz="4"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4"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2" w:space="0"/>
              <w:left w:val="single" w:color="000000" w:sz="2" w:space="0"/>
              <w:bottom w:val="single" w:color="000000" w:sz="4"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开户银行</w:t>
            </w:r>
            <w:r/>
          </w:p>
        </w:tc>
        <w:tc>
          <w:tcPr>
            <w:tcBorders>
              <w:top w:val="single" w:color="000000" w:sz="2" w:space="0"/>
              <w:left w:val="single" w:color="000000" w:sz="2" w:space="0"/>
              <w:bottom w:val="single" w:color="000000" w:sz="4"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359"/>
        </w:trPr>
        <w:tc>
          <w:tcPr>
            <w:tcBorders>
              <w:top w:val="single" w:color="000000" w:sz="4" w:space="0"/>
              <w:bottom w:val="single" w:color="000000" w:sz="4" w:space="0"/>
              <w:right w:val="single" w:color="000000" w:sz="2" w:space="0"/>
            </w:tcBorders>
            <w:tcW w:w="1007"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2" w:space="0"/>
              <w:bottom w:val="single" w:color="000000" w:sz="4" w:space="0"/>
              <w:right w:val="single" w:color="000000" w:sz="2" w:space="0"/>
            </w:tcBorders>
            <w:tcW w:w="1416"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000000" w:sz="4" w:space="0"/>
              <w:left w:val="single" w:color="000000" w:sz="2" w:space="0"/>
              <w:bottom w:val="single" w:color="000000" w:sz="4" w:space="0"/>
              <w:right w:val="single" w:color="000000" w:sz="2" w:space="0"/>
            </w:tcBorders>
            <w:tcW w:w="1208" w:type="pct"/>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银行账号</w:t>
            </w:r>
            <w:r/>
          </w:p>
        </w:tc>
        <w:tc>
          <w:tcPr>
            <w:tcBorders>
              <w:top w:val="single" w:color="000000" w:sz="4" w:space="0"/>
              <w:left w:val="single" w:color="000000" w:sz="2" w:space="0"/>
              <w:bottom w:val="single" w:color="000000" w:sz="4" w:space="0"/>
            </w:tcBorders>
            <w:tcW w:w="1367" w:type="pct"/>
            <w:vAlign w:val="center"/>
            <w:textDirection w:val="lrTb"/>
            <w:noWrap w:val="false"/>
          </w:tcPr>
          <w:p>
            <w:pPr>
              <w:jc w:val="center"/>
              <w:rPr>
                <w:rFonts w:hint="eastAsia" w:ascii="仿宋" w:hAnsi="仿宋" w:eastAsia="仿宋" w:cs="仿宋"/>
                <w:spacing w:val="20"/>
                <w:highlight w:val="none"/>
              </w:rPr>
            </w:pPr>
            <w:r>
              <w:rPr>
                <w:rFonts w:hint="eastAsia" w:ascii="仿宋" w:hAnsi="仿宋" w:eastAsia="仿宋" w:cs="仿宋"/>
                <w:spacing w:val="20"/>
                <w:highlight w:val="none"/>
              </w:rPr>
            </w:r>
            <w:r/>
          </w:p>
        </w:tc>
      </w:tr>
      <w:tr>
        <w:trPr>
          <w:trHeight w:val="713"/>
        </w:trPr>
        <w:tc>
          <w:tcPr>
            <w:gridSpan w:val="4"/>
            <w:tcBorders>
              <w:top w:val="single" w:color="000000" w:sz="4" w:space="0"/>
              <w:left w:val="none" w:color="000000" w:sz="4" w:space="0"/>
              <w:bottom w:val="none" w:color="000000" w:sz="4" w:space="0"/>
              <w:right w:val="none" w:color="000000" w:sz="4" w:space="0"/>
            </w:tcBorders>
            <w:tcW w:w="5000" w:type="pct"/>
            <w:vAlign w:val="center"/>
            <w:textDirection w:val="lrTb"/>
            <w:noWrap w:val="false"/>
          </w:tcPr>
          <w:p>
            <w:pPr>
              <w:pStyle w:val="1278"/>
              <w:ind w:firstLine="520"/>
              <w:jc w:val="left"/>
              <w:rPr>
                <w:rFonts w:hint="eastAsia" w:ascii="仿宋" w:hAnsi="仿宋" w:eastAsia="仿宋" w:cs="仿宋"/>
                <w:spacing w:val="20"/>
                <w:szCs w:val="21"/>
                <w:highlight w:val="none"/>
              </w:rPr>
            </w:pPr>
            <w:r>
              <w:rPr>
                <w:rFonts w:hint="eastAsia" w:ascii="仿宋" w:hAnsi="仿宋" w:eastAsia="仿宋" w:cs="仿宋"/>
                <w:spacing w:val="20"/>
                <w:szCs w:val="21"/>
                <w:highlight w:val="none"/>
              </w:rPr>
            </w:r>
            <w:r/>
          </w:p>
        </w:tc>
      </w:tr>
    </w:tbl>
    <w:p>
      <w:pPr>
        <w:pStyle w:val="1186"/>
        <w:rPr>
          <w:rFonts w:hint="eastAsia" w:ascii="仿宋" w:hAnsi="仿宋" w:eastAsia="仿宋" w:cs="仿宋"/>
          <w:sz w:val="28"/>
          <w:szCs w:val="28"/>
          <w:highlight w:val="none"/>
        </w:rPr>
      </w:pPr>
      <w:r>
        <w:rPr>
          <w:rFonts w:hint="eastAsia" w:ascii="仿宋" w:hAnsi="仿宋" w:eastAsia="仿宋" w:cs="仿宋"/>
          <w:szCs w:val="21"/>
          <w:highlight w:val="none"/>
          <w:u w:val="single"/>
        </w:rPr>
        <w:br w:type="page" w:clear="all"/>
      </w:r>
      <w:bookmarkStart w:id="792" w:name="_Toc27624"/>
      <w:r>
        <w:rPr>
          <w:rFonts w:hint="eastAsia" w:ascii="仿宋" w:hAnsi="仿宋" w:eastAsia="仿宋" w:cs="仿宋"/>
          <w:sz w:val="28"/>
          <w:szCs w:val="28"/>
          <w:highlight w:val="none"/>
        </w:rPr>
        <w:t xml:space="preserve">第二节政府采购合同通用条款</w:t>
      </w:r>
      <w:bookmarkEnd w:id="792"/>
      <w:r/>
      <w:r/>
    </w:p>
    <w:p>
      <w:pPr>
        <w:ind w:firstLine="420"/>
        <w:jc w:val="left"/>
        <w:spacing w:line="360" w:lineRule="auto"/>
        <w:rPr>
          <w:rFonts w:hint="eastAsia" w:ascii="仿宋" w:hAnsi="仿宋" w:eastAsia="仿宋" w:cs="仿宋"/>
          <w:highlight w:val="none"/>
        </w:rPr>
      </w:pPr>
      <w:r/>
      <w:bookmarkStart w:id="793" w:name="_Toc20313"/>
      <w:r>
        <w:rPr>
          <w:rFonts w:hint="eastAsia" w:ascii="仿宋" w:hAnsi="仿宋" w:eastAsia="仿宋" w:cs="仿宋"/>
          <w:highlight w:val="none"/>
        </w:rPr>
        <w:t xml:space="preserve">1. 定义</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1.1合同当事人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（3）其他合同主体是指除采购人和供应商以外，依法参与合同缔结或履行，享有权利、承担义务的合同当事人。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1.2本合同下列术语应解释为：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（2）“合同价款”系指根据本合同规定乙方在全面履行合同义务后甲方应支付给乙方的价款。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（7）其他术语解释，见【政府采购合同专用条款】。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 合同标的及金额</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 合同标的及金额应与中标（成交）结果一致。乙方为履行本合同而发生的所有费用均应包含在合同价款中，甲方不再另行支付其他任何费用。</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 履行合同的时间、地点和方式</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3.1 乙方应当在约定的时间、地点，按照约定方式履行合同。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 甲方的权利和义务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4.3 甲方有权要求乙方对缺陷部分予以修复，并按合同约定享有货物保修及其他合同约定的权利。</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4.6 国家法律法规规定及【政府采购合同专用条款】约定应由甲方承担的其他义务和责任。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 乙方的权利和义务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5.1 签署合同后，乙方应确定项目负责人：联系人：；联系方式： ，负责与本合同有关的事务。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5.3乙方有权根据合同约定向甲方收取合同价款。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5.4国家法律法规规定及【政府采购合同专用条款】约定应由乙方承担的其他义务和责任。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 合同履行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6.1 甲乙双方应当按照【政府采购合同专用条款】约定顺序履行合同义务；如果没有先后顺序的，应当同时履行。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 货物包装、运输、保险和交付要求</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7.2 除【政府采购合同专用条款】另有约定外，乙方负责办理将货物运抵本合同规定的交货地点，并装卸、交付至甲方的一切运输事项，相关费用应包含在合同价款中。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7.3 货物保险要求按【政府采购合同专用条款】规定执行。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7.5 乙方在运输到达之前应提前通知甲方，并提示货物运输装卸的注意事项，甲方配合乙方做好货物的接收工作。</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7.6 如因包装、运输问题导致货物损毁、丢失或者品质下降，甲方有权要求降价、换货、拒收部分或整批货物，由此产生的费用和损失，均由乙方承担。</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 质量标准和保证</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8.1 质量标准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（2）采用中华人民共和国法定计量单位。</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（3）乙方所提供的货物应符合国家有关安全、环保、卫生的规定。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8.2 保证</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（2）在质量保证期内所发现的缺陷，甲方应尽快以书面形式通知乙方。</w:t>
      </w:r>
      <w:r/>
    </w:p>
    <w:p>
      <w:pPr>
        <w:ind w:firstLine="404"/>
        <w:jc w:val="left"/>
        <w:spacing w:line="360" w:lineRule="auto"/>
        <w:rPr>
          <w:rFonts w:hint="eastAsia" w:ascii="仿宋" w:hAnsi="仿宋" w:eastAsia="仿宋" w:cs="仿宋"/>
          <w:spacing w:val="-4"/>
          <w:highlight w:val="none"/>
        </w:rPr>
      </w:pPr>
      <w:r>
        <w:rPr>
          <w:rFonts w:hint="eastAsia" w:ascii="仿宋" w:hAnsi="仿宋" w:eastAsia="仿宋" w:cs="仿宋"/>
          <w:spacing w:val="-4"/>
          <w:highlight w:val="none"/>
        </w:rPr>
        <w:t xml:space="preserve">（3）乙方收到通知后，应在【政府采购合同专用条款】规定的响应时间内以合理的速度免费维修或更换有缺陷的货物或部件。</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（5）乙方在约定的时间内未能弥补缺陷，甲方可采取必要的补救措施，但其风险和费用将由乙方承担，甲方根据合同约定对乙方行使的其他权利不受影响。</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 权利瑕疵担保</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9.1 乙方保证对其出售的货物享有合法的权利。</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9.2 乙方保证在交付的货物上不存在抵押权等担保物权。</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9.3 如甲方使用上述货物构成对第三人侵权的，则由乙方承担全部责任。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 知识产权保护</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 保密义务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 合同价款支付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12.1 合同价款支付按照国库集中支付制度及财政管理相关规定执行。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 履约保证金</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13.1 乙方应当以支票、汇票、本票或者金融机构、担保机构出具的保函等非现金形式提交。按照苏财购〔2023〕150号文，鼓励优先采用电子保函形式。</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00"/>
        <w:jc w:val="left"/>
        <w:spacing w:line="360" w:lineRule="auto"/>
        <w:rPr>
          <w:rFonts w:hint="eastAsia" w:ascii="仿宋" w:hAnsi="仿宋" w:eastAsia="仿宋" w:cs="仿宋"/>
          <w:spacing w:val="-5"/>
          <w:highlight w:val="none"/>
        </w:rPr>
      </w:pPr>
      <w:r>
        <w:rPr>
          <w:rFonts w:hint="eastAsia" w:ascii="仿宋" w:hAnsi="仿宋" w:eastAsia="仿宋" w:cs="仿宋"/>
          <w:spacing w:val="-5"/>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 售后服务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14.1 除项目不涉及或采购活动中明确约定无须承担外，乙方还应提供下列服务：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（1）货物的现场移动、安装、调试、启动监督及技术支持；</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（2）提供货物组装和维修所需的专用工具和辅助材料；</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（3）在【政府采购合同专用条款】约定的期限内对所有的货物实施运行监督、维修，但前提条件是该服务并不能免除乙方在质量保证期内所承担的义务；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（4）在制造商所在地或指定现场就货物的安装、启动、运营、维护、废弃处置等对甲方操作人员进行培训；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（6）【政府采购合同专用条款】规定由乙方提供的其他服务。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14.2 乙方提供的售后服务的费用已包含在合同价款中，甲方不再另行支付。</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 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15.1质量瑕疵的违约责任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15.2 迟延交货的违约责任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15.3 迟延支付的违约责任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甲方存在迟延支付乙方合同款项的，应当承担【政府采购合同专用条款】规定的逾期付款利息。</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15.4其他违约责任根据项目实际需要按【政府采购合同专用条款】规定执行。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 合同变更、中止与终止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16.1合同的变更</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16.2合同的中止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（1）合同履行过程中因供应商就采购文件、采购过程或结果提起投诉的，甲方认为有必要的，可以中止合同的履行。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（4）甲方不得以行政区划调整、政府换届、机构或者职能调整以及相关责任人更替为由中止合同。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16.3合同的终止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（1）合同因有效期限届满而终止；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（2）乙方未按合同约定履行，构成根本性违约的，甲方有权终止合同，并追究乙方的违约责任。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16.4 涉及国家利益、社会公共利益的情形</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 合同分包</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17.2 乙方执行政府采购政策向中小企业依法分包的，乙方应当按采购文件和投标（响应）文件签订分包意向协议，分包意向协议属于本合同组成部分。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 不可抗力</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18.1 不可抗力是指合同双方不能预见、不能避免且不能克服的客观情况。</w:t>
      </w:r>
      <w:r/>
    </w:p>
    <w:p>
      <w:pPr>
        <w:ind w:firstLine="400"/>
        <w:jc w:val="left"/>
        <w:spacing w:line="360" w:lineRule="auto"/>
        <w:rPr>
          <w:rFonts w:hint="eastAsia" w:ascii="仿宋" w:hAnsi="仿宋" w:eastAsia="仿宋" w:cs="仿宋"/>
          <w:spacing w:val="-5"/>
          <w:highlight w:val="none"/>
        </w:rPr>
      </w:pPr>
      <w:r>
        <w:rPr>
          <w:rFonts w:hint="eastAsia" w:ascii="仿宋" w:hAnsi="仿宋" w:eastAsia="仿宋" w:cs="仿宋"/>
          <w:spacing w:val="-5"/>
          <w:highlight w:val="none"/>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 解决争议的方法</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04"/>
        <w:jc w:val="left"/>
        <w:spacing w:line="360" w:lineRule="auto"/>
        <w:rPr>
          <w:rFonts w:hint="eastAsia" w:ascii="仿宋" w:hAnsi="仿宋" w:eastAsia="仿宋" w:cs="仿宋"/>
          <w:spacing w:val="-4"/>
          <w:highlight w:val="none"/>
        </w:rPr>
      </w:pPr>
      <w:r>
        <w:rPr>
          <w:rFonts w:hint="eastAsia" w:ascii="仿宋" w:hAnsi="仿宋" w:eastAsia="仿宋" w:cs="仿宋"/>
          <w:spacing w:val="-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19.3 如甲乙双方有争议的事项不影响合同其他部分的履行，在争议解决期间，合同其他部分应当继续履行。</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 政府采购政策</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20.1 本合同应当按照规定执行政府采购政策。</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 法律适用</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21.1 本合同的订立、生效、解释、履行及与本合同有关的争议解决，均适用法律、行政法规。</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21.2 本合同条款与法律、行政法规的强制性规定不一致的，双方当事人应按照法律、行政法规的强制性规定修改本合同的相关条款。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 通知</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22.1 本合同任何一方向对方发出的通知、信件、数据电文等，应当发送至本合同第一部分《政府采购合同协议书》所约定的通讯地址、联系人、联系电话或电子邮箱。</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22.4通知以送达之日或通知书中规定的生效之日起生效，两者中以较迟之日为准。</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 合同未尽事项</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23.1合同未尽事项见【政府采购合同专用条款】。</w:t>
      </w:r>
      <w:r/>
    </w:p>
    <w:p>
      <w:pPr>
        <w:ind w:firstLine="420"/>
        <w:jc w:val="left"/>
        <w:spacing w:line="360" w:lineRule="auto"/>
        <w:rPr>
          <w:rFonts w:hint="eastAsia" w:ascii="仿宋" w:hAnsi="仿宋" w:eastAsia="仿宋" w:cs="仿宋"/>
          <w:highlight w:val="none"/>
        </w:rPr>
      </w:pPr>
      <w:r>
        <w:rPr>
          <w:rFonts w:hint="eastAsia" w:ascii="仿宋" w:hAnsi="仿宋" w:eastAsia="仿宋" w:cs="仿宋"/>
          <w:highlight w:val="none"/>
        </w:rPr>
        <w:t xml:space="preserve">23.2 合同附件与合同正文具有同等的法律效力。</w:t>
      </w:r>
      <w:r/>
    </w:p>
    <w:p>
      <w:pPr>
        <w:pStyle w:val="1186"/>
        <w:rPr>
          <w:rFonts w:hint="eastAsia" w:ascii="仿宋" w:hAnsi="仿宋" w:eastAsia="仿宋" w:cs="仿宋"/>
          <w:sz w:val="28"/>
          <w:szCs w:val="28"/>
          <w:highlight w:val="none"/>
        </w:rPr>
      </w:pPr>
      <w:r>
        <w:rPr>
          <w:rFonts w:hint="eastAsia" w:ascii="仿宋" w:hAnsi="仿宋" w:eastAsia="仿宋" w:cs="仿宋"/>
          <w:highlight w:val="none"/>
        </w:rPr>
        <w:br w:type="page" w:clear="all"/>
      </w:r>
      <w:r>
        <w:rPr>
          <w:rFonts w:hint="eastAsia" w:ascii="仿宋" w:hAnsi="仿宋" w:eastAsia="仿宋" w:cs="仿宋"/>
          <w:sz w:val="28"/>
          <w:szCs w:val="28"/>
          <w:highlight w:val="none"/>
        </w:rPr>
        <w:t xml:space="preserve">第三节 政府采购合同专用条款</w:t>
      </w:r>
      <w:bookmarkEnd w:id="793"/>
      <w:r/>
      <w:r/>
    </w:p>
    <w:p>
      <w:pPr>
        <w:jc w:val="left"/>
        <w:spacing w:line="20" w:lineRule="exact"/>
        <w:widowControl/>
        <w:rPr>
          <w:rFonts w:hint="eastAsia" w:ascii="仿宋" w:hAnsi="仿宋" w:eastAsia="仿宋" w:cs="仿宋"/>
          <w:highlight w:val="none"/>
        </w:rPr>
      </w:pPr>
      <w:r>
        <w:rPr>
          <w:rFonts w:hint="eastAsia" w:ascii="仿宋" w:hAnsi="仿宋" w:eastAsia="仿宋" w:cs="仿宋"/>
          <w:highlight w:val="none"/>
        </w:rPr>
      </w:r>
      <w:r/>
    </w:p>
    <w:tbl>
      <w:tblPr>
        <w:tblStyle w:val="1195"/>
        <w:tblW w:w="992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94"/>
        <w:gridCol w:w="1837"/>
        <w:gridCol w:w="6591"/>
      </w:tblGrid>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第1.2（6）项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联合体具体要求</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第1.2（7）项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其他术语解释</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第4.4款</w:t>
            </w:r>
            <w:r/>
          </w:p>
        </w:tc>
        <w:tc>
          <w:tcPr>
            <w:tcW w:w="1837" w:type="dxa"/>
            <w:vAlign w:val="center"/>
            <w:textDirection w:val="lrTb"/>
            <w:noWrap w:val="false"/>
          </w:tcPr>
          <w:p>
            <w:pPr>
              <w:jc w:val="center"/>
              <w:spacing w:line="360" w:lineRule="exact"/>
              <w:rPr>
                <w:rFonts w:hint="eastAsia" w:ascii="仿宋" w:hAnsi="仿宋" w:eastAsia="仿宋" w:cs="仿宋"/>
                <w:highlight w:val="none"/>
              </w:rPr>
            </w:pPr>
            <w:r>
              <w:rPr>
                <w:rFonts w:hint="eastAsia" w:ascii="仿宋" w:hAnsi="仿宋" w:eastAsia="仿宋" w:cs="仿宋"/>
                <w:highlight w:val="none"/>
              </w:rPr>
              <w:t xml:space="preserve">履约验收中甲方提出异议或作出说明的期限</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收到相关材料后10个工作日</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第4.6款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约定甲方承担的其他义务和责任</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无</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第5.4款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约定乙方承担的其他义务和责任</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乙方应将所提供货物的原厂保修卡和合格证、用户手册、装箱清单及其他随机资料及随机工具、配件等交付给甲方，乙方不能完整交付货物及本款规定的单证的，视为未按合同约定交货，乙方负责补齐，因此导致逾期交付的，由乙方承担相关的违约责任；</w:t>
            </w:r>
            <w:r/>
          </w:p>
          <w:p>
            <w:pPr>
              <w:jc w:val="left"/>
              <w:rPr>
                <w:rFonts w:hint="eastAsia" w:ascii="仿宋" w:hAnsi="仿宋" w:eastAsia="仿宋" w:cs="仿宋"/>
                <w:highlight w:val="none"/>
              </w:rPr>
            </w:pPr>
            <w:r>
              <w:rPr>
                <w:rFonts w:hint="eastAsia" w:ascii="仿宋" w:hAnsi="仿宋" w:eastAsia="仿宋" w:cs="仿宋"/>
                <w:highlight w:val="none"/>
              </w:rPr>
              <w:t xml:space="preserve">2.乙方应提供包括所有</w:t>
            </w:r>
            <w:r>
              <w:rPr>
                <w:rFonts w:hint="eastAsia" w:ascii="仿宋" w:hAnsi="仿宋" w:eastAsia="仿宋" w:cs="仿宋"/>
                <w:szCs w:val="21"/>
                <w:highlight w:val="none"/>
              </w:rPr>
              <w:t xml:space="preserve">设备</w:t>
            </w:r>
            <w:r>
              <w:rPr>
                <w:rFonts w:hint="eastAsia" w:ascii="仿宋" w:hAnsi="仿宋" w:eastAsia="仿宋" w:cs="仿宋"/>
                <w:highlight w:val="none"/>
              </w:rPr>
              <w:t xml:space="preserve">、技术资料、相关服务及技术指导，但在执行合同过程中如发现有任何漏项和短缺，在发货清单中并未列入而且确实是乙方供货范围中应该有的，并且是满足合同技术协议对合同设备的性能保证值要求所必须的，均应由乙方及时补上，且不发生费用问题。</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第6.1款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履行合同义务的顺序</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乙方先予履行</w:t>
            </w:r>
            <w:r/>
          </w:p>
        </w:tc>
      </w:tr>
      <w:tr>
        <w:trPr>
          <w:cantSplit/>
          <w:jc w:val="center"/>
          <w:trHeight w:val="90"/>
        </w:trPr>
        <w:tc>
          <w:tcPr>
            <w:tcMar>
              <w:left w:w="0" w:type="dxa"/>
              <w:right w:w="0" w:type="dxa"/>
            </w:tcMar>
            <w:tcW w:w="1494" w:type="dxa"/>
            <w:vAlign w:val="center"/>
            <w:vMerge w:val="restart"/>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第7.1款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包装特殊要求</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1.除合同另有规定外，乙方提供的全部货物均应按国家或行业标准保护措施进行包装；</w:t>
            </w:r>
            <w:r/>
          </w:p>
          <w:p>
            <w:pPr>
              <w:rPr>
                <w:rFonts w:hint="eastAsia" w:ascii="仿宋" w:hAnsi="仿宋" w:eastAsia="仿宋" w:cs="仿宋"/>
                <w:highlight w:val="none"/>
              </w:rPr>
            </w:pPr>
            <w:r>
              <w:rPr>
                <w:rFonts w:hint="eastAsia" w:ascii="仿宋" w:hAnsi="仿宋" w:eastAsia="仿宋" w:cs="仿宋"/>
                <w:highlight w:val="none"/>
              </w:rPr>
              <w:t xml:space="preserve">2.包装单元内应附详细的装箱单和质量合格凭证；</w:t>
            </w:r>
            <w:r/>
          </w:p>
          <w:p>
            <w:pPr>
              <w:rPr>
                <w:rFonts w:hint="eastAsia" w:ascii="仿宋" w:hAnsi="仿宋" w:eastAsia="仿宋" w:cs="仿宋"/>
                <w:highlight w:val="none"/>
              </w:rPr>
            </w:pPr>
            <w:r>
              <w:rPr>
                <w:rFonts w:hint="eastAsia" w:ascii="仿宋" w:hAnsi="仿宋" w:eastAsia="仿宋" w:cs="仿宋"/>
                <w:highlight w:val="none"/>
              </w:rPr>
              <w:t xml:space="preserve">3.由于包装不善所引起的货物损失均由乙方承担。</w:t>
            </w:r>
            <w:r/>
          </w:p>
        </w:tc>
      </w:tr>
      <w:tr>
        <w:trPr>
          <w:cantSplit/>
          <w:jc w:val="center"/>
          <w:trHeight w:val="302"/>
        </w:trPr>
        <w:tc>
          <w:tcPr>
            <w:tcMar>
              <w:left w:w="0" w:type="dxa"/>
              <w:right w:w="0" w:type="dxa"/>
            </w:tcMar>
            <w:tcW w:w="1494" w:type="dxa"/>
            <w:vAlign w:val="center"/>
            <w:vMerge w:val="continue"/>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指定现场</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sz w:val="22"/>
                <w:szCs w:val="22"/>
                <w:highlight w:val="none"/>
              </w:rPr>
              <w:t xml:space="preserve">新北区人民医院项目一期工地（常州市新北区，长江路以西、乐山路以东、嫩江路以北地块）</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第7.2款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运输特殊要求</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运送至甲方指定地点</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第7.3款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保险要求</w:t>
            </w:r>
            <w:r/>
          </w:p>
        </w:tc>
        <w:tc>
          <w:tcPr>
            <w:tcW w:w="6591" w:type="dxa"/>
            <w:vAlign w:val="center"/>
            <w:textDirection w:val="lrTb"/>
            <w:noWrap w:val="false"/>
          </w:tcPr>
          <w:p>
            <w:pPr>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第8.2（1）项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质量保证期</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投标文件承诺的年份：</w:t>
            </w:r>
            <w:r>
              <w:rPr>
                <w:rFonts w:hint="eastAsia" w:ascii="仿宋" w:hAnsi="仿宋" w:eastAsia="仿宋" w:cs="仿宋"/>
                <w:highlight w:val="none"/>
                <w:u w:val="single"/>
              </w:rPr>
              <w:t xml:space="preserve">    </w:t>
            </w:r>
            <w:r>
              <w:rPr>
                <w:rFonts w:hint="eastAsia" w:ascii="仿宋" w:hAnsi="仿宋" w:eastAsia="仿宋" w:cs="仿宋"/>
                <w:highlight w:val="none"/>
              </w:rPr>
              <w:t xml:space="preserve">年</w:t>
            </w:r>
            <w:r/>
          </w:p>
          <w:p>
            <w:pPr>
              <w:jc w:val="left"/>
              <w:rPr>
                <w:rFonts w:hint="eastAsia" w:ascii="仿宋" w:hAnsi="仿宋" w:eastAsia="仿宋" w:cs="仿宋"/>
                <w:highlight w:val="none"/>
              </w:rPr>
            </w:pPr>
            <w:r>
              <w:rPr>
                <w:rFonts w:hint="eastAsia" w:ascii="仿宋" w:hAnsi="仿宋" w:eastAsia="仿宋" w:cs="仿宋"/>
                <w:highlight w:val="none"/>
              </w:rPr>
              <w:t xml:space="preserve">产品质量保证期内，凡货物在开箱检验、安装调试、货物试运转过程中发现的货物质量问题，由乙方负责处理，实行包修、包换、包退，直至产品符合质量要求，乙方承担修理、调换、退货发生的一切费用和甲方的直接经济损失。产品质量保证期从产品验收合格之日算起。</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第8.2（3）项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货物质量缺陷</w:t>
            </w:r>
            <w:r/>
          </w:p>
          <w:p>
            <w:pPr>
              <w:jc w:val="center"/>
              <w:rPr>
                <w:rFonts w:hint="eastAsia" w:ascii="仿宋" w:hAnsi="仿宋" w:eastAsia="仿宋" w:cs="仿宋"/>
                <w:highlight w:val="none"/>
              </w:rPr>
            </w:pPr>
            <w:r>
              <w:rPr>
                <w:rFonts w:hint="eastAsia" w:ascii="仿宋" w:hAnsi="仿宋" w:eastAsia="仿宋" w:cs="仿宋"/>
                <w:highlight w:val="none"/>
              </w:rPr>
              <w:t xml:space="preserve">响应时间</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提供长期技术支持和维修服务，接到用户维修通知后，1小时内响应、2小时内到达指定现场进行维修。免费更换一切在非人为原因情况下损坏的零配件。如需更换设备或送修，必须在24小时内负责解决，且更换维修期间须提供备用设备以保证系统的正常运行。免费质保期内，如在以上规定时间内乙方不能及时完成维修任务，甲方有权指定第三方进行维修，维修费用需由乙方支付。</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pStyle w:val="1476"/>
              <w:ind w:firstLine="420"/>
              <w:jc w:val="center"/>
              <w:spacing w:line="240" w:lineRule="auto"/>
              <w:rPr>
                <w:rFonts w:hint="eastAsia" w:ascii="仿宋" w:hAnsi="仿宋" w:eastAsia="仿宋" w:cs="仿宋"/>
                <w:sz w:val="21"/>
                <w:highlight w:val="none"/>
              </w:rPr>
            </w:pPr>
            <w:r>
              <w:rPr>
                <w:rFonts w:hint="eastAsia" w:ascii="仿宋" w:hAnsi="仿宋" w:eastAsia="仿宋" w:cs="仿宋"/>
                <w:sz w:val="21"/>
                <w:highlight w:val="none"/>
              </w:rPr>
              <w:t xml:space="preserve">第11.1款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其他应当保密的信息</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第12.2款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合同价款支付</w:t>
            </w:r>
            <w:r/>
          </w:p>
          <w:p>
            <w:pPr>
              <w:jc w:val="center"/>
              <w:rPr>
                <w:rFonts w:hint="eastAsia" w:ascii="仿宋" w:hAnsi="仿宋" w:eastAsia="仿宋" w:cs="仿宋"/>
                <w:highlight w:val="none"/>
              </w:rPr>
            </w:pPr>
            <w:r>
              <w:rPr>
                <w:rFonts w:hint="eastAsia" w:ascii="仿宋" w:hAnsi="仿宋" w:eastAsia="仿宋" w:cs="仿宋"/>
                <w:highlight w:val="none"/>
              </w:rPr>
              <w:t xml:space="preserve">时间</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1）本合同为固定</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合同；</w:t>
            </w:r>
            <w:r/>
          </w:p>
          <w:p>
            <w:pPr>
              <w:jc w:val="left"/>
              <w:rPr>
                <w:rFonts w:hint="eastAsia" w:ascii="仿宋" w:hAnsi="仿宋" w:eastAsia="仿宋" w:cs="仿宋"/>
                <w:highlight w:val="none"/>
              </w:rPr>
            </w:pPr>
            <w:r>
              <w:rPr>
                <w:rFonts w:hint="eastAsia" w:ascii="仿宋" w:hAnsi="仿宋" w:eastAsia="仿宋" w:cs="仿宋"/>
                <w:highlight w:val="none"/>
              </w:rPr>
              <w:t xml:space="preserve">2）本项目以人民币付款；</w:t>
            </w:r>
            <w:r/>
          </w:p>
          <w:p>
            <w:pPr>
              <w:jc w:val="left"/>
              <w:rPr>
                <w:rFonts w:hint="eastAsia" w:ascii="仿宋" w:hAnsi="仿宋" w:eastAsia="仿宋" w:cs="仿宋"/>
                <w:highlight w:val="none"/>
              </w:rPr>
            </w:pPr>
            <w:r>
              <w:rPr>
                <w:rFonts w:hint="eastAsia" w:ascii="仿宋" w:hAnsi="仿宋" w:eastAsia="仿宋" w:cs="仿宋"/>
                <w:highlight w:val="none"/>
              </w:rPr>
              <w:t xml:space="preserve">3）乙方在合同签订前向甲方提供签约合同价5%的履约保证金（履约担保的形式：现金或银行保函），履约结束后30个工作日内无息退还乙方。</w:t>
            </w:r>
            <w:r/>
          </w:p>
          <w:p>
            <w:pPr>
              <w:jc w:val="left"/>
              <w:rPr>
                <w:rFonts w:hint="eastAsia" w:ascii="仿宋" w:hAnsi="仿宋" w:eastAsia="仿宋" w:cs="仿宋"/>
                <w:highlight w:val="none"/>
              </w:rPr>
            </w:pPr>
            <w:r>
              <w:rPr>
                <w:rFonts w:hint="eastAsia" w:ascii="仿宋" w:hAnsi="仿宋" w:eastAsia="仿宋" w:cs="仿宋"/>
                <w:highlight w:val="none"/>
              </w:rPr>
              <w:t xml:space="preserve">4）预付款支付时间：合同签订生效后；预付款支付比例：签约合同金额的30%；</w:t>
            </w:r>
            <w:r/>
          </w:p>
          <w:p>
            <w:pPr>
              <w:jc w:val="left"/>
              <w:rPr>
                <w:rFonts w:hint="eastAsia" w:ascii="仿宋" w:hAnsi="仿宋" w:eastAsia="仿宋" w:cs="仿宋"/>
                <w:highlight w:val="none"/>
              </w:rPr>
            </w:pPr>
            <w:r>
              <w:rPr>
                <w:rFonts w:hint="eastAsia" w:ascii="仿宋" w:hAnsi="仿宋" w:eastAsia="仿宋" w:cs="仿宋"/>
                <w:highlight w:val="none"/>
              </w:rPr>
              <w:t xml:space="preserve">5）进度款支付时间：全部设备完成安装调试合格后；进度款支付比例：支付至签约合同金额的70%；</w:t>
            </w:r>
            <w:r/>
          </w:p>
          <w:p>
            <w:pPr>
              <w:jc w:val="left"/>
              <w:rPr>
                <w:rFonts w:hint="eastAsia" w:ascii="仿宋" w:hAnsi="仿宋" w:eastAsia="仿宋" w:cs="仿宋"/>
                <w:highlight w:val="none"/>
              </w:rPr>
            </w:pPr>
            <w:r>
              <w:rPr>
                <w:rFonts w:hint="eastAsia" w:ascii="仿宋" w:hAnsi="仿宋" w:eastAsia="仿宋" w:cs="仿宋"/>
                <w:highlight w:val="none"/>
              </w:rPr>
              <w:t xml:space="preserve">6）结算款支付时间：所有设备投入使用正常运行三个月并经履约验收合格及结算审定完成后；结算款支付比例：支付至审定金额的100%。</w:t>
            </w:r>
            <w:r/>
          </w:p>
          <w:p>
            <w:pPr>
              <w:jc w:val="left"/>
              <w:rPr>
                <w:rFonts w:hint="eastAsia" w:ascii="仿宋" w:hAnsi="仿宋" w:eastAsia="仿宋" w:cs="仿宋"/>
                <w:highlight w:val="none"/>
              </w:rPr>
            </w:pPr>
            <w:r>
              <w:rPr>
                <w:rFonts w:hint="eastAsia" w:ascii="仿宋" w:hAnsi="仿宋" w:eastAsia="仿宋" w:cs="仿宋"/>
                <w:highlight w:val="none"/>
              </w:rPr>
              <w:t xml:space="preserve">满足合同约定支付条件的，自收到发票后支付。</w:t>
            </w:r>
            <w:r/>
          </w:p>
          <w:p>
            <w:pPr>
              <w:jc w:val="left"/>
              <w:rPr>
                <w:rFonts w:hint="eastAsia" w:ascii="仿宋" w:hAnsi="仿宋" w:eastAsia="仿宋" w:cs="仿宋"/>
                <w:highlight w:val="none"/>
              </w:rPr>
            </w:pPr>
            <w:r>
              <w:rPr>
                <w:rFonts w:hint="eastAsia" w:ascii="仿宋" w:hAnsi="仿宋" w:eastAsia="仿宋" w:cs="仿宋"/>
                <w:highlight w:val="none"/>
              </w:rPr>
              <w:t xml:space="preserve">付款时乙方提供符合规定及甲方要求的增值税专用发票。</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第13.2款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履约保证金不予退还的情形</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第13.3款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履约保证金退还时间及逾期退还的违约金</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第14.1（3）项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运行监督、维修</w:t>
            </w:r>
            <w:r/>
          </w:p>
          <w:p>
            <w:pPr>
              <w:jc w:val="center"/>
              <w:rPr>
                <w:rFonts w:hint="eastAsia" w:ascii="仿宋" w:hAnsi="仿宋" w:eastAsia="仿宋" w:cs="仿宋"/>
                <w:highlight w:val="none"/>
              </w:rPr>
            </w:pPr>
            <w:r>
              <w:rPr>
                <w:rFonts w:hint="eastAsia" w:ascii="仿宋" w:hAnsi="仿宋" w:eastAsia="仿宋" w:cs="仿宋"/>
                <w:highlight w:val="none"/>
              </w:rPr>
              <w:t xml:space="preserve">期限</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质保期内</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第14.1（5）项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货物回收的约定</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第14.1（6）项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乙方提供的其他服务</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按乙方投标文件承诺</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修理、重作、更换相关具体规定</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1.如乙方所交付的货物品种、品牌、型号、规格、质量要求（以货物到场检测为准）不符合投标文件及合同规定的，甲方有权拒收且乙方应无条件更换货物。</w:t>
            </w:r>
            <w:r/>
          </w:p>
          <w:p>
            <w:pPr>
              <w:jc w:val="left"/>
              <w:rPr>
                <w:rFonts w:hint="eastAsia" w:ascii="仿宋" w:hAnsi="仿宋" w:eastAsia="仿宋" w:cs="仿宋"/>
                <w:highlight w:val="none"/>
              </w:rPr>
            </w:pPr>
            <w:r>
              <w:rPr>
                <w:rFonts w:hint="eastAsia" w:ascii="仿宋" w:hAnsi="仿宋" w:eastAsia="仿宋" w:cs="仿宋"/>
                <w:highlight w:val="none"/>
              </w:rPr>
              <w:t xml:space="preserve">2.所有货物保修服务方式均为乙方主动上门保修，即由乙方派员到货物使用现场维修，由此产生的一切费用均由乙方承担，保修期内因乙方原因导致其余各方损失的，乙方应承担赔偿责任。</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第15.2（2）项</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迟延交货赔偿费</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乙方逾期交货的（不可抗力及丙方原因除外），每逾期1天，乙方向甲方偿付合同总价的5‰的违约金（最高限额为合同款总额的5%）。一旦达到误期赔偿的最高限额，甲方有权终止合同（经甲乙双方协商同意延期交付使用者不在此列），且乙方按不能交货承担违约责任。终止合同的通知自到达乙方时生效。</w:t>
            </w:r>
            <w:r/>
          </w:p>
          <w:p>
            <w:pPr>
              <w:jc w:val="left"/>
              <w:rPr>
                <w:rFonts w:hint="eastAsia" w:ascii="仿宋" w:hAnsi="仿宋" w:eastAsia="仿宋" w:cs="仿宋"/>
                <w:highlight w:val="none"/>
              </w:rPr>
            </w:pPr>
            <w:r>
              <w:rPr>
                <w:rFonts w:hint="eastAsia" w:ascii="仿宋" w:hAnsi="仿宋" w:eastAsia="仿宋" w:cs="仿宋"/>
                <w:highlight w:val="none"/>
              </w:rPr>
              <w:t xml:space="preserve">如乙方不能交付货物（逾期违约金限额达到合同款总额的5%），视同乙方未实质性履行合同，甲方有权解除合同；乙方应退还全部已付款并赔偿甲方合同价款20%的违约金及由此给甲方造成的其他损失;由此导致甲方、集中或代理采购机构为此参与诉讼或仲裁，乙方另应支付甲方、集中或代理采购机构为此引发的律师费、诉讼费、调查费、差旅费等一切费用。</w:t>
            </w:r>
            <w:r/>
          </w:p>
        </w:tc>
      </w:tr>
      <w:tr>
        <w:trPr>
          <w:jc w:val="center"/>
          <w:trHeight w:val="2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第15.3款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逾期付款利息</w:t>
            </w:r>
            <w:r/>
          </w:p>
        </w:tc>
        <w:tc>
          <w:tcPr>
            <w:tcW w:w="6591" w:type="dxa"/>
            <w:vAlign w:val="center"/>
            <w:textDirection w:val="lrTb"/>
            <w:noWrap w:val="false"/>
          </w:tcPr>
          <w:p>
            <w:pPr>
              <w:jc w:val="left"/>
              <w:rPr>
                <w:rFonts w:hint="eastAsia" w:ascii="仿宋" w:hAnsi="仿宋" w:eastAsia="仿宋" w:cs="仿宋"/>
                <w:highlight w:val="none"/>
                <w:u w:val="single"/>
              </w:rPr>
            </w:pPr>
            <w:r>
              <w:rPr>
                <w:rFonts w:hint="eastAsia" w:ascii="仿宋" w:hAnsi="仿宋" w:eastAsia="仿宋" w:cs="仿宋"/>
                <w:highlight w:val="none"/>
              </w:rPr>
              <w:t xml:space="preserve">按合同履行期间的银行同期存款利率</w:t>
            </w:r>
            <w:r/>
          </w:p>
        </w:tc>
      </w:tr>
      <w:tr>
        <w:trPr>
          <w:jc w:val="center"/>
          <w:trHeight w:val="20"/>
        </w:trPr>
        <w:tc>
          <w:tcPr>
            <w:tcBorders>
              <w:bottom w:val="single" w:color="000000" w:sz="2" w:space="0"/>
              <w:right w:val="single" w:color="000000" w:sz="2" w:space="0"/>
            </w:tcBorders>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第15.4款</w:t>
            </w:r>
            <w:r/>
          </w:p>
        </w:tc>
        <w:tc>
          <w:tcPr>
            <w:tcBorders>
              <w:left w:val="single" w:color="000000" w:sz="2" w:space="0"/>
              <w:bottom w:val="single" w:color="000000" w:sz="2" w:space="0"/>
              <w:right w:val="single" w:color="000000" w:sz="2" w:space="0"/>
            </w:tcBorders>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其他违约责任</w:t>
            </w:r>
            <w:r/>
          </w:p>
        </w:tc>
        <w:tc>
          <w:tcPr>
            <w:tcBorders>
              <w:left w:val="single" w:color="000000" w:sz="2" w:space="0"/>
              <w:bottom w:val="single" w:color="000000" w:sz="2" w:space="0"/>
            </w:tcBorders>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1.合同一方不履行合同义务或者履行合同义务不符合约定的，应当承担继续履行、采取补救措施或者赔偿损失等违约责任。</w:t>
            </w:r>
            <w:r/>
          </w:p>
          <w:p>
            <w:pPr>
              <w:jc w:val="left"/>
              <w:rPr>
                <w:rFonts w:hint="eastAsia" w:ascii="仿宋" w:hAnsi="仿宋" w:eastAsia="仿宋" w:cs="仿宋"/>
                <w:highlight w:val="none"/>
              </w:rPr>
            </w:pPr>
            <w:r>
              <w:rPr>
                <w:rFonts w:hint="eastAsia" w:ascii="仿宋" w:hAnsi="仿宋" w:eastAsia="仿宋" w:cs="仿宋"/>
                <w:highlight w:val="none"/>
              </w:rPr>
              <w:t xml:space="preserve">2.乙方所提供的货</w:t>
            </w:r>
            <w:r>
              <w:rPr>
                <w:rFonts w:hint="eastAsia" w:ascii="仿宋" w:hAnsi="仿宋" w:eastAsia="仿宋" w:cs="仿宋"/>
                <w:highlight w:val="none"/>
              </w:rPr>
              <w:t xml:space="preserve">物或其任何一部分侵犯第三方的知识产权，或者所有权不完整（指乙方完全能处分所提供的货物，该货物不存在任何抵押、查封等产权瑕疵），甲方将退回该批货物，乙方应另提供符合合同要求的货物，并向甲方支付合同价款5%违约金；若乙方不退回或不另提供合同要求的货物，视同乙方未实质性履行合同，甲方有权解除合同，乙方应退还全部已付款并赔偿甲方合同价款20%的违约金及由此给甲方造成的其他损失；由此导致甲方、集中或代理采购机构为此参与诉讼或仲裁，乙方另应支付甲方、集中或代理采购机构为此引发的律师费、诉讼费、调查费、差旅费等一切费用。</w:t>
            </w:r>
            <w:r/>
          </w:p>
          <w:p>
            <w:pPr>
              <w:jc w:val="left"/>
              <w:rPr>
                <w:rFonts w:hint="eastAsia" w:ascii="仿宋" w:hAnsi="仿宋" w:eastAsia="仿宋" w:cs="仿宋"/>
                <w:highlight w:val="none"/>
              </w:rPr>
            </w:pPr>
            <w:r>
              <w:rPr>
                <w:rFonts w:hint="eastAsia" w:ascii="仿宋" w:hAnsi="仿宋" w:eastAsia="仿宋" w:cs="仿宋"/>
                <w:highlight w:val="none"/>
              </w:rPr>
              <w:t xml:space="preserve">3.未达到投标承诺的产品技术参数的，有一项未满足技术要求的，乙方应向甲方支付合同价款5%的违约金，超过三项（含）以上未满足技术要求的，视同乙方未实质性履行合同，甲方有权解除合同，乙方应退还全部已付款并赔偿甲方合同价款20%的违约金及由此给甲方造成的其他损失。</w:t>
            </w:r>
            <w:r/>
          </w:p>
          <w:p>
            <w:pPr>
              <w:jc w:val="left"/>
              <w:rPr>
                <w:rFonts w:hint="eastAsia" w:ascii="仿宋" w:hAnsi="仿宋" w:eastAsia="仿宋" w:cs="仿宋"/>
                <w:highlight w:val="none"/>
              </w:rPr>
            </w:pPr>
            <w:r>
              <w:rPr>
                <w:rFonts w:hint="eastAsia" w:ascii="仿宋" w:hAnsi="仿宋" w:eastAsia="仿宋" w:cs="仿宋"/>
                <w:highlight w:val="none"/>
              </w:rPr>
              <w:t xml:space="preserve">4.系统不能满足使用要求的，乙方应按甲方要求在规定时间内整改到位，否则视为乙方未实质性履行合同，甲方有权解除合同，乙方应退还全部已付款并赔偿甲方合同价款20%的违约金及由此给甲方造成的其他损失。</w:t>
            </w:r>
            <w:r/>
          </w:p>
        </w:tc>
      </w:tr>
      <w:tr>
        <w:trPr>
          <w:jc w:val="center"/>
          <w:trHeight w:val="1058"/>
        </w:trPr>
        <w:tc>
          <w:tcPr>
            <w:tcBorders>
              <w:top w:val="single" w:color="000000" w:sz="2" w:space="0"/>
              <w:right w:val="single" w:color="000000" w:sz="2" w:space="0"/>
            </w:tcBorders>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第19.2款</w:t>
            </w:r>
            <w:r/>
          </w:p>
        </w:tc>
        <w:tc>
          <w:tcPr>
            <w:tcBorders>
              <w:top w:val="single" w:color="000000" w:sz="2" w:space="0"/>
              <w:left w:val="single" w:color="000000" w:sz="2" w:space="0"/>
              <w:right w:val="single" w:color="000000" w:sz="2" w:space="0"/>
            </w:tcBorders>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解决争议的方法</w:t>
            </w:r>
            <w:r/>
          </w:p>
        </w:tc>
        <w:tc>
          <w:tcPr>
            <w:tcBorders>
              <w:top w:val="single" w:color="000000" w:sz="2" w:space="0"/>
              <w:left w:val="single" w:color="000000" w:sz="2" w:space="0"/>
            </w:tcBorders>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1.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p>
          <w:p>
            <w:pPr>
              <w:jc w:val="left"/>
              <w:rPr>
                <w:rFonts w:hint="eastAsia" w:ascii="仿宋" w:hAnsi="仿宋" w:eastAsia="仿宋" w:cs="仿宋"/>
                <w:highlight w:val="none"/>
                <w:u w:val="single"/>
              </w:rPr>
            </w:pPr>
            <w:r>
              <w:rPr>
                <w:rFonts w:hint="eastAsia" w:ascii="仿宋" w:hAnsi="仿宋" w:eastAsia="仿宋" w:cs="仿宋"/>
                <w:highlight w:val="none"/>
              </w:rPr>
              <w:t xml:space="preserve">2.因本合同文本或履行本合同引起的或与本合同有关的争议，甲、乙双方应首先通过友好协商解决，如果协商开始后的三十天内仍不能解决争议，双方均可向甲方所在地有管辖权的人民法院提起诉讼，在诉讼期间，除正在进行诉讼的部分外，合同其他部分应继续执行。</w:t>
            </w:r>
            <w:r/>
          </w:p>
        </w:tc>
      </w:tr>
      <w:tr>
        <w:trPr>
          <w:jc w:val="center"/>
          <w:trHeight w:val="3890"/>
        </w:trPr>
        <w:tc>
          <w:tcPr>
            <w:tcMar>
              <w:left w:w="0" w:type="dxa"/>
              <w:right w:w="0" w:type="dxa"/>
            </w:tcMar>
            <w:tcW w:w="1494"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highlight w:val="none"/>
              </w:rPr>
              <w:t xml:space="preserve">第二节</w:t>
            </w:r>
            <w:r/>
          </w:p>
          <w:p>
            <w:pPr>
              <w:jc w:val="center"/>
              <w:rPr>
                <w:rFonts w:hint="eastAsia" w:ascii="仿宋" w:hAnsi="仿宋" w:eastAsia="仿宋" w:cs="仿宋"/>
                <w:highlight w:val="none"/>
              </w:rPr>
            </w:pPr>
            <w:r>
              <w:rPr>
                <w:rFonts w:hint="eastAsia" w:ascii="仿宋" w:hAnsi="仿宋" w:eastAsia="仿宋" w:cs="仿宋"/>
                <w:highlight w:val="none"/>
              </w:rPr>
              <w:t xml:space="preserve">第23.1款</w:t>
            </w:r>
            <w:r/>
          </w:p>
        </w:tc>
        <w:tc>
          <w:tcPr>
            <w:tcW w:w="1837" w:type="dxa"/>
            <w:vAlign w:val="center"/>
            <w:textDirection w:val="lrTb"/>
            <w:noWrap w:val="false"/>
          </w:tcPr>
          <w:p>
            <w:pPr>
              <w:jc w:val="center"/>
              <w:rPr>
                <w:rFonts w:hint="eastAsia" w:ascii="仿宋" w:hAnsi="仿宋" w:eastAsia="仿宋" w:cs="仿宋"/>
                <w:highlight w:val="none"/>
              </w:rPr>
            </w:pPr>
            <w:r>
              <w:rPr>
                <w:rFonts w:hint="eastAsia" w:ascii="仿宋" w:hAnsi="仿宋" w:eastAsia="仿宋" w:cs="仿宋"/>
                <w:bCs/>
                <w:highlight w:val="none"/>
              </w:rPr>
              <w:t xml:space="preserve">其他专用条款</w:t>
            </w:r>
            <w:r/>
          </w:p>
        </w:tc>
        <w:tc>
          <w:tcPr>
            <w:tcW w:w="6591" w:type="dxa"/>
            <w:vAlign w:val="center"/>
            <w:textDirection w:val="lrTb"/>
            <w:noWrap w:val="false"/>
          </w:tcPr>
          <w:p>
            <w:pPr>
              <w:jc w:val="left"/>
              <w:rPr>
                <w:rFonts w:hint="eastAsia" w:ascii="仿宋" w:hAnsi="仿宋" w:eastAsia="仿宋" w:cs="仿宋"/>
                <w:highlight w:val="none"/>
              </w:rPr>
            </w:pPr>
            <w:r>
              <w:rPr>
                <w:rFonts w:hint="eastAsia" w:ascii="仿宋" w:hAnsi="仿宋" w:eastAsia="仿宋" w:cs="仿宋"/>
                <w:highlight w:val="none"/>
              </w:rPr>
              <w:t xml:space="preserve">一、价格说明：</w:t>
            </w:r>
            <w:r/>
          </w:p>
          <w:p>
            <w:pPr>
              <w:jc w:val="left"/>
              <w:rPr>
                <w:rFonts w:hint="eastAsia" w:ascii="仿宋" w:hAnsi="仿宋" w:eastAsia="仿宋" w:cs="仿宋"/>
                <w:highlight w:val="none"/>
              </w:rPr>
            </w:pPr>
            <w:r>
              <w:rPr>
                <w:rFonts w:hint="eastAsia" w:ascii="仿宋" w:hAnsi="仿宋" w:eastAsia="仿宋" w:cs="仿宋"/>
                <w:highlight w:val="none"/>
              </w:rPr>
              <w:t xml:space="preserve">1、本合同采用固定</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方式。合同价是在符合相应技术规范及招标文件约定的技术要求，完成招标文件所确定的范围内的全部设备的采购、制作、安装、验收、移交、质量保修和售后服务所包含的全部内容的价格体现。</w:t>
            </w:r>
            <w:r>
              <w:rPr>
                <w:rFonts w:hint="eastAsia" w:ascii="仿宋" w:hAnsi="仿宋" w:eastAsia="仿宋" w:cs="仿宋"/>
                <w:szCs w:val="21"/>
                <w:highlight w:val="none"/>
              </w:rPr>
              <w:t xml:space="preserve">包含但不限于完成本项目所有设备、材料采购、备品备件、产品运输、包装、保险、安装、调试、管理费、利润、检验试验费、规费、税金（含关税）、质保期和维保费、政策性文件规定及合同包含的所有风险、责任和招标文件所要求的相关服务、不可预见费等全部费用。确保所有设备符合主管部门要求并正常投入使用，因此产生的所有费用均含在合同价中，甲方不另行支付。</w:t>
            </w:r>
            <w:r/>
          </w:p>
          <w:p>
            <w:pPr>
              <w:jc w:val="left"/>
              <w:rPr>
                <w:rFonts w:hint="eastAsia" w:ascii="仿宋" w:hAnsi="仿宋" w:eastAsia="仿宋" w:cs="仿宋"/>
                <w:highlight w:val="none"/>
              </w:rPr>
            </w:pPr>
            <w:r>
              <w:rPr>
                <w:rFonts w:hint="eastAsia" w:ascii="仿宋" w:hAnsi="仿宋" w:eastAsia="仿宋" w:cs="仿宋"/>
                <w:highlight w:val="none"/>
              </w:rPr>
              <w:t xml:space="preserve">2.如有未列入招标文件，但又是本次采购设备应配置的确保正常使用和维护所必需的辅助设备和各种配件、备品备件、安装和维护所需的专用工具等的费用及乙方认为为完成本合同内容所发生的其他所有费用均包括在本合同价款内，不再计任何额外费用。</w:t>
            </w:r>
            <w:r/>
          </w:p>
          <w:p>
            <w:pPr>
              <w:jc w:val="left"/>
              <w:rPr>
                <w:rFonts w:hint="eastAsia" w:ascii="仿宋" w:hAnsi="仿宋" w:eastAsia="仿宋" w:cs="仿宋"/>
                <w:highlight w:val="none"/>
              </w:rPr>
            </w:pPr>
            <w:r>
              <w:rPr>
                <w:rFonts w:hint="eastAsia" w:ascii="仿宋" w:hAnsi="仿宋" w:eastAsia="仿宋" w:cs="仿宋"/>
                <w:highlight w:val="none"/>
              </w:rPr>
              <w:t xml:space="preserve">3.乙方进场后项目实施过程中发生的水、电费用由乙方自行承担，按实际发生的费用与总包单位进行结算，并服从总包单位现场管理。</w:t>
            </w:r>
            <w:r/>
          </w:p>
          <w:p>
            <w:pPr>
              <w:jc w:val="left"/>
              <w:rPr>
                <w:rFonts w:hint="eastAsia" w:ascii="仿宋" w:hAnsi="仿宋" w:eastAsia="仿宋" w:cs="仿宋"/>
                <w:highlight w:val="none"/>
              </w:rPr>
            </w:pPr>
            <w:r>
              <w:rPr>
                <w:rFonts w:hint="eastAsia" w:ascii="仿宋" w:hAnsi="仿宋" w:eastAsia="仿宋" w:cs="仿宋"/>
                <w:highlight w:val="none"/>
              </w:rPr>
              <w:t xml:space="preserve">4.乙方应做好交付前的成品保护。</w:t>
            </w:r>
            <w:r/>
          </w:p>
          <w:p>
            <w:pPr>
              <w:jc w:val="left"/>
              <w:rPr>
                <w:rFonts w:hint="eastAsia" w:ascii="仿宋" w:hAnsi="仿宋" w:eastAsia="仿宋" w:cs="仿宋"/>
                <w:highlight w:val="none"/>
              </w:rPr>
            </w:pPr>
            <w:r>
              <w:rPr>
                <w:rFonts w:hint="eastAsia" w:ascii="仿宋" w:hAnsi="仿宋" w:eastAsia="仿宋" w:cs="仿宋"/>
                <w:highlight w:val="none"/>
              </w:rPr>
              <w:t xml:space="preserve">二、结算条款</w:t>
            </w:r>
            <w:r/>
          </w:p>
          <w:p>
            <w:pPr>
              <w:jc w:val="left"/>
              <w:rPr>
                <w:rFonts w:hint="eastAsia" w:ascii="仿宋" w:hAnsi="仿宋" w:eastAsia="仿宋" w:cs="仿宋"/>
                <w:highlight w:val="none"/>
              </w:rPr>
            </w:pPr>
            <w:r>
              <w:rPr>
                <w:rFonts w:hint="eastAsia" w:ascii="仿宋" w:hAnsi="仿宋" w:eastAsia="仿宋" w:cs="仿宋"/>
                <w:highlight w:val="none"/>
              </w:rPr>
              <w:t xml:space="preserve">1、甲方有权取消部分项目实施内容，乙方承诺予以执行，按实结算，不因数量变化进行索赔。</w:t>
            </w:r>
            <w:r/>
          </w:p>
          <w:p>
            <w:pPr>
              <w:jc w:val="left"/>
              <w:rPr>
                <w:rFonts w:hint="eastAsia" w:ascii="仿宋" w:hAnsi="仿宋" w:eastAsia="仿宋" w:cs="仿宋"/>
                <w:highlight w:val="none"/>
              </w:rPr>
            </w:pPr>
            <w:r>
              <w:rPr>
                <w:rFonts w:hint="eastAsia" w:ascii="仿宋" w:hAnsi="仿宋" w:eastAsia="仿宋" w:cs="仿宋"/>
                <w:highlight w:val="none"/>
              </w:rPr>
              <w:t xml:space="preserve">由于甲方原因要求减少图纸或招标清单范围内的任何工作内容、项目或者某一个系统，乙方承诺予以执行，按实结算，乙方不以施工内容增加或减少为由向甲方提出任何费用（包括不限于管理费、利润等）的索赔。</w:t>
            </w:r>
            <w:r/>
          </w:p>
          <w:p>
            <w:pPr>
              <w:numPr>
                <w:ilvl w:val="0"/>
                <w:numId w:val="8"/>
              </w:numPr>
              <w:jc w:val="left"/>
              <w:rPr>
                <w:rFonts w:hint="eastAsia" w:ascii="仿宋" w:hAnsi="仿宋" w:eastAsia="仿宋" w:cs="仿宋"/>
                <w:highlight w:val="none"/>
              </w:rPr>
            </w:pPr>
            <w:r>
              <w:rPr>
                <w:rFonts w:hint="eastAsia" w:ascii="仿宋" w:hAnsi="仿宋" w:eastAsia="仿宋" w:cs="仿宋"/>
                <w:highlight w:val="none"/>
              </w:rPr>
              <w:t xml:space="preserve">项目实施过程中，甲方有权利对站点数量进行调整，站点数量不变，则合同价不调整；乙方对设计文件的深化或优化，均不影响合同价；如站点数增加或减少，结算价=实际站点数*</w:t>
            </w:r>
            <w:r>
              <w:rPr>
                <w:rFonts w:hint="eastAsia" w:ascii="仿宋" w:hAnsi="仿宋" w:eastAsia="仿宋" w:cs="仿宋"/>
                <w:szCs w:val="21"/>
                <w:highlight w:val="none"/>
                <w:lang w:bidi="ar"/>
              </w:rPr>
              <w:t xml:space="preserve">站点平均综合单价</w:t>
            </w:r>
            <w:r>
              <w:rPr>
                <w:rFonts w:hint="eastAsia" w:ascii="仿宋" w:hAnsi="仿宋" w:eastAsia="仿宋" w:cs="仿宋"/>
                <w:highlight w:val="none"/>
              </w:rPr>
              <w:t xml:space="preserve">。若医用传送瓶或其他部件需增加或减少，该单价按投标分项报价表的相应单价或者折算后的单价进行合同价格的调整。若分项报价明细表内没有单价的项目，双方市场询价后商量确定。</w:t>
            </w:r>
            <w:r/>
          </w:p>
          <w:p>
            <w:pPr>
              <w:jc w:val="left"/>
              <w:rPr>
                <w:rFonts w:hint="eastAsia" w:ascii="仿宋" w:hAnsi="仿宋" w:eastAsia="仿宋" w:cs="仿宋"/>
                <w:highlight w:val="none"/>
              </w:rPr>
            </w:pPr>
            <w:r>
              <w:rPr>
                <w:rFonts w:hint="eastAsia" w:ascii="仿宋" w:hAnsi="仿宋" w:eastAsia="仿宋" w:cs="仿宋"/>
                <w:highlight w:val="none"/>
              </w:rPr>
              <w:t xml:space="preserve">三、其他</w:t>
            </w:r>
            <w:r/>
          </w:p>
          <w:p>
            <w:pPr>
              <w:jc w:val="left"/>
              <w:rPr>
                <w:rFonts w:hint="eastAsia" w:ascii="仿宋" w:hAnsi="仿宋" w:eastAsia="仿宋" w:cs="仿宋"/>
                <w:highlight w:val="none"/>
              </w:rPr>
            </w:pPr>
            <w:r>
              <w:rPr>
                <w:rFonts w:hint="eastAsia" w:ascii="仿宋" w:hAnsi="仿宋" w:eastAsia="仿宋" w:cs="仿宋"/>
                <w:highlight w:val="none"/>
              </w:rPr>
              <w:t xml:space="preserve">1.在质保期内，乙方应按照本合同约定提供质保服务，若在甲方要求的时间内拒绝提供服务或甲方认为乙方不能按本合同约定提供服务时，甲方有权委托第三方提供相应服务，甲方因此发生的费用和损失由乙方承担，甲方有权将前述费用和损失向乙方进行追偿。</w:t>
            </w:r>
            <w:r/>
          </w:p>
          <w:p>
            <w:pPr>
              <w:jc w:val="left"/>
              <w:rPr>
                <w:rFonts w:hint="eastAsia" w:ascii="仿宋" w:hAnsi="仿宋" w:eastAsia="仿宋" w:cs="仿宋"/>
                <w:highlight w:val="none"/>
              </w:rPr>
            </w:pPr>
            <w:r>
              <w:rPr>
                <w:rFonts w:hint="eastAsia" w:ascii="仿宋" w:hAnsi="仿宋" w:eastAsia="仿宋" w:cs="仿宋"/>
                <w:highlight w:val="none"/>
              </w:rPr>
              <w:t xml:space="preserve">2.发生不可抗力情况或因法律、政策原因导致甲方不能履行合同外，甲乙双方不得放弃或拒绝履行合同。除甲方书面另行要求外，乙方应尽实际可能继续履行合同义务，以及寻求采取合理的方案履行不受不可抗力影响的其他事项；如果不可抗力事件影响时间持续120天以上时，甲方有权终止合同。</w:t>
            </w:r>
            <w:r/>
          </w:p>
          <w:p>
            <w:pPr>
              <w:jc w:val="left"/>
              <w:rPr>
                <w:rFonts w:hint="eastAsia" w:ascii="仿宋" w:hAnsi="仿宋" w:eastAsia="仿宋" w:cs="仿宋"/>
                <w:highlight w:val="none"/>
              </w:rPr>
            </w:pPr>
            <w:r>
              <w:rPr>
                <w:rFonts w:hint="eastAsia" w:ascii="仿宋" w:hAnsi="仿宋" w:eastAsia="仿宋" w:cs="仿宋"/>
                <w:highlight w:val="none"/>
              </w:rPr>
              <w:t xml:space="preserve">3.合同在执行过程中出现的未尽事宜，双方在不违背本合同和招标文件的原则下协商解决，协商结果以书面形式盖章记录在案，作为本合同的附件，与本合同具有同等效力，但需提交代理采购机构一份备存；</w:t>
            </w:r>
            <w:r/>
          </w:p>
          <w:p>
            <w:pPr>
              <w:jc w:val="left"/>
              <w:rPr>
                <w:rFonts w:hint="eastAsia" w:ascii="仿宋" w:hAnsi="仿宋" w:eastAsia="仿宋" w:cs="仿宋"/>
                <w:highlight w:val="none"/>
              </w:rPr>
            </w:pPr>
            <w:r>
              <w:rPr>
                <w:rFonts w:hint="eastAsia" w:ascii="仿宋" w:hAnsi="仿宋" w:eastAsia="仿宋" w:cs="仿宋"/>
                <w:highlight w:val="none"/>
              </w:rPr>
              <w:t xml:space="preserve">4.如需修改或补充合同内容，须经甲、乙双方协商一致后方可更改，共同签署书面修改或补充协议，该协议将作为本合同不可分割的一部分。</w:t>
            </w:r>
            <w:r/>
          </w:p>
        </w:tc>
      </w:tr>
    </w:tbl>
    <w:p>
      <w:pPr>
        <w:rPr>
          <w:rFonts w:hint="eastAsia" w:ascii="仿宋" w:hAnsi="仿宋" w:eastAsia="仿宋" w:cs="仿宋"/>
          <w:highlight w:val="none"/>
        </w:rPr>
      </w:pPr>
      <w:r>
        <w:rPr>
          <w:rFonts w:hint="eastAsia" w:ascii="仿宋" w:hAnsi="仿宋" w:eastAsia="仿宋" w:cs="仿宋"/>
          <w:highlight w:val="none"/>
        </w:rPr>
      </w:r>
      <w:r/>
    </w:p>
    <w:p>
      <w:pPr>
        <w:tabs>
          <w:tab w:val="left" w:pos="0" w:leader="none"/>
        </w:tabs>
        <w:rPr>
          <w:rFonts w:hint="eastAsia" w:ascii="仿宋" w:hAnsi="仿宋" w:eastAsia="仿宋" w:cs="仿宋"/>
          <w:b/>
          <w:bCs/>
          <w:sz w:val="24"/>
          <w:highlight w:val="none"/>
        </w:rPr>
      </w:pPr>
      <w:r>
        <w:rPr>
          <w:rStyle w:val="1243"/>
          <w:rFonts w:hint="eastAsia" w:ascii="仿宋" w:hAnsi="仿宋" w:eastAsia="仿宋" w:cs="仿宋"/>
          <w:sz w:val="36"/>
          <w:szCs w:val="36"/>
          <w:highlight w:val="none"/>
        </w:rPr>
        <w:br w:type="page" w:clear="all"/>
      </w:r>
      <w:bookmarkStart w:id="794" w:name="_Toc19395"/>
      <w:r>
        <w:rPr>
          <w:rFonts w:hint="eastAsia" w:ascii="仿宋" w:hAnsi="仿宋" w:eastAsia="仿宋" w:cs="仿宋"/>
          <w:b/>
          <w:bCs/>
          <w:sz w:val="24"/>
          <w:highlight w:val="none"/>
        </w:rPr>
        <w:t xml:space="preserve">附件1：采购清单及报价</w:t>
      </w:r>
      <w:r/>
    </w:p>
    <w:p>
      <w:pPr>
        <w:tabs>
          <w:tab w:val="left" w:pos="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tabs>
          <w:tab w:val="left" w:pos="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tabs>
          <w:tab w:val="left" w:pos="0" w:leader="none"/>
        </w:tabs>
        <w:rPr>
          <w:rFonts w:hint="eastAsia" w:ascii="仿宋" w:hAnsi="仿宋" w:eastAsia="仿宋" w:cs="仿宋"/>
          <w:b/>
          <w:bCs/>
          <w:sz w:val="28"/>
          <w:szCs w:val="28"/>
          <w:highlight w:val="none"/>
        </w:rPr>
      </w:pPr>
      <w:r>
        <w:rPr>
          <w:rFonts w:hint="eastAsia" w:ascii="仿宋" w:hAnsi="仿宋" w:eastAsia="仿宋" w:cs="仿宋"/>
          <w:b/>
          <w:bCs/>
          <w:sz w:val="24"/>
          <w:highlight w:val="none"/>
        </w:rPr>
        <w:t xml:space="preserve">附件2：新北区人民医院气动物流传输设计要求</w:t>
      </w:r>
      <w:r/>
    </w:p>
    <w:p>
      <w:pPr>
        <w:tabs>
          <w:tab w:val="left" w:pos="0" w:leader="none"/>
        </w:tabs>
        <w:rPr>
          <w:rFonts w:hint="eastAsia" w:ascii="仿宋" w:hAnsi="仿宋" w:eastAsia="仿宋" w:cs="仿宋"/>
          <w:b/>
          <w:bCs/>
          <w:sz w:val="28"/>
          <w:szCs w:val="28"/>
          <w:highlight w:val="none"/>
        </w:rPr>
      </w:pPr>
      <w:r>
        <w:rPr>
          <w:rStyle w:val="1243"/>
          <w:rFonts w:hint="eastAsia" w:ascii="仿宋" w:hAnsi="仿宋" w:eastAsia="仿宋" w:cs="仿宋"/>
          <w:sz w:val="36"/>
          <w:szCs w:val="36"/>
          <w:highlight w:val="none"/>
        </w:rPr>
        <w:br w:type="page" w:clear="all"/>
      </w:r>
      <w:r>
        <w:rPr>
          <w:rFonts w:hint="eastAsia" w:ascii="仿宋" w:hAnsi="仿宋" w:eastAsia="仿宋" w:cs="仿宋"/>
          <w:b/>
          <w:bCs/>
          <w:sz w:val="24"/>
          <w:highlight w:val="none"/>
        </w:rPr>
        <w:t xml:space="preserve">附件3：</w:t>
      </w:r>
      <w:bookmarkStart w:id="795" w:name="_Toc13146718"/>
      <w:r/>
      <w:bookmarkEnd w:id="795"/>
      <w:r/>
      <w:r/>
    </w:p>
    <w:p>
      <w:pPr>
        <w:ind w:firstLine="3463"/>
        <w:spacing w:line="360" w:lineRule="auto"/>
        <w:rPr>
          <w:rFonts w:hint="eastAsia" w:ascii="仿宋" w:hAnsi="仿宋" w:eastAsia="仿宋" w:cs="仿宋"/>
          <w:b/>
          <w:sz w:val="30"/>
          <w:szCs w:val="30"/>
          <w:highlight w:val="none"/>
        </w:rPr>
      </w:pPr>
      <w:r/>
      <w:bookmarkStart w:id="796" w:name="_Hlk130372448"/>
      <w:r/>
      <w:bookmarkStart w:id="797" w:name="_Hlk130309119"/>
      <w:r>
        <w:rPr>
          <w:rFonts w:hint="eastAsia" w:ascii="仿宋" w:hAnsi="仿宋" w:eastAsia="仿宋" w:cs="仿宋"/>
          <w:b/>
          <w:sz w:val="30"/>
          <w:szCs w:val="30"/>
          <w:highlight w:val="none"/>
        </w:rPr>
        <w:t xml:space="preserve">安全生产文明施工协议</w:t>
      </w:r>
      <w:r/>
    </w:p>
    <w:p>
      <w:pPr>
        <w:rPr>
          <w:rFonts w:hint="eastAsia" w:ascii="仿宋" w:hAnsi="仿宋" w:eastAsia="仿宋" w:cs="仿宋"/>
          <w:highlight w:val="none"/>
        </w:rPr>
      </w:pPr>
      <w:r>
        <w:rPr>
          <w:rFonts w:hint="eastAsia" w:ascii="仿宋" w:hAnsi="仿宋" w:eastAsia="仿宋" w:cs="仿宋"/>
          <w:highlight w:val="none"/>
        </w:rPr>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甲方：</w:t>
      </w:r>
      <w:r>
        <w:rPr>
          <w:rFonts w:hint="eastAsia" w:ascii="仿宋" w:hAnsi="仿宋" w:eastAsia="仿宋" w:cs="仿宋"/>
          <w:highlight w:val="none"/>
        </w:rPr>
        <w:t xml:space="preserve"> </w:t>
      </w:r>
      <w:r>
        <w:rPr>
          <w:rFonts w:hint="eastAsia" w:ascii="仿宋" w:hAnsi="仿宋" w:eastAsia="仿宋" w:cs="仿宋"/>
          <w:szCs w:val="21"/>
          <w:highlight w:val="none"/>
        </w:rPr>
        <w:t xml:space="preserve"> </w:t>
      </w:r>
      <w:r/>
    </w:p>
    <w:p>
      <w:pPr>
        <w:ind w:firstLine="420"/>
        <w:spacing w:line="44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乙方：</w:t>
      </w:r>
      <w:r>
        <w:rPr>
          <w:rFonts w:hint="eastAsia" w:ascii="仿宋" w:hAnsi="仿宋" w:eastAsia="仿宋" w:cs="仿宋"/>
          <w:szCs w:val="21"/>
          <w:highlight w:val="none"/>
          <w:u w:val="single"/>
        </w:rPr>
        <w:t xml:space="preserve">                            </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为确保工程的安全生产和文明施工，顺利实现建设目标，发承包双方特制定如下协议：</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一、乙方通过合法竞争取得承包</w:t>
      </w:r>
      <w:r>
        <w:rPr>
          <w:rFonts w:hint="eastAsia" w:ascii="仿宋" w:hAnsi="仿宋" w:eastAsia="仿宋" w:cs="仿宋"/>
          <w:highlight w:val="none"/>
          <w:u w:val="single"/>
        </w:rPr>
        <w:t xml:space="preserve">                 </w:t>
      </w:r>
      <w:r>
        <w:rPr>
          <w:rFonts w:hint="eastAsia" w:ascii="仿宋" w:hAnsi="仿宋" w:eastAsia="仿宋" w:cs="仿宋"/>
          <w:szCs w:val="21"/>
          <w:highlight w:val="none"/>
        </w:rPr>
        <w:t xml:space="preserve">项目权利的同时，即产生对该工程项目确保安全生产、文明施工以及保护现场、维护甲方声誉的义务，乙方应严格遵守国家有关法律法规，恪守双方所签施工合同（协议）中的有关规定，全面承担其经济及法律责任。</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二、对于违反本规定的行为，甲方有权按照规定进行相应处罚，处罚款在最终结算时予以扣除。</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三、乙方创建省、市文明工地成果，须上报甲方审批后实施。</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四、安全生产文明施工管理要求：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（一）安全管理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1、乙方必须制定安全生产指标，制定各种安全技术操作规程，按规定配专职安全员。</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2、制定安全管理目标（安全达标目标和文明施工目标）进行安全责任目标分解。</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3、建立责任目标考核制度，考核办法要落实到位。</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4、在施工组织设计中应该明确制定安全措施，专业性较强的项目要单独编制专项安全施工组织设计，安全措施要全面并具有针对性，应符合工程建设强制性标准。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（1）乙方编制的地下管线保护措施方案应符合强制性标准要求。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（2）基坑支护与降水、土方开挖与边坡防护、模板、起重吊装、脚手架等分部分项工程的专项施工方案应符合强制性标准要求。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（3）冬季、雨季等季节性施工方案的制定应符合强制性标准要求。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（4）施工现场临时用电施工组织设计或者安全用电技术措施和电气防火措施应符合强制性标准要求。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（5）施工总平面布置图应符合安全生产的要求，办公、宿舍、食堂、道路等临时设施设置以及排水、防火措施应符合强制性标准要求。</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5、要有书面的分部（分项）工程安全技术交底，交底要全面同时具有针对性并履行签字手续。</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6、制订定期的安全检查制度并做好检查记录，整改事故隐患要做到定人、定时间、定措施。对重大事故隐患应该如期完成整改通知书所列项目。</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7、制定安全教育制度，新入场工人应该进行三级安全教育，变换工种时要进行安全教育，施工管理人员和专职安全技术员应按规定进行年度培训考核。</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8、从事特种作业应持证上岗。</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9、乙方必须执行国家有关安全生产和劳动保护的法规，建立安全生产责任制，加强规范化管理，对现场各种安全设施和劳动保护器具进行检查和维修，并制定“三宝”，“四口”防护措施及时消除隐患，保证其安全有效，并保证做到：</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（1）入施工现场必须带安全帽，高空作业必须系安全带，挂安全网。</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（2）井字架、塔吊、施工电梯安装后，必须验收合格方可使用，吊篮严禁乘人。</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（3）施工现场严禁赤膊、穿拖鞋及高跟鞋、穿裙子施工。</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（4）严禁酒后作业。</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10、加强安全用电管理。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（1）各乙方应建立和执行施工现场用电管理制度。</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（2）现场电工必须有操作证，并实行专人管理，经常巡视、维修并做好相关档案。</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（3）建筑物与高压线应符合安全距离，不符合要求的要采取防护措施。</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（4）配电室应整洁通风，配电箱要符合“三级配电两级保护”要求，实行“一机、一闸、一漏、一箱”。</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（5）现场照明设有专用回路漏电保护，室内线路及灯具安装高度低于2.4m应使用安全电压供电。</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（6）总配电箱、塔机井架等要单独接地。</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（二）文明施工管理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1、现场应设置围墙，其高度应符合规定，围墙材料应坚固、稳定、整洁、美观并沿工地四周连续设置。</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2、现场采用封闭管理，施工现场进出口设置大门，门头设置企业标志，配置门卫和门卫制度，进入施工现场应佩带工作卡，施工人员要有明显标志。</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施工场地地面应做硬化处理，保持道路、排水畅通，做到场地无积水，做好防止泥浆、污水、废水外流或者堵塞下水道和排水河道措施，并每日清除沉淀物。禁止在混凝土路面上及其其它主要道路上堆放物资，拌制砂浆。</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4、乙方应建立专人管理、每日清扫制度，保持场容、场貌整洁，即工完场清。做到搅拌货物周围无弃物，水泥库周围无粉尘，运输道路无堆料，建筑物周围无落地料。</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5、施工作业区与办公区应明显划分，在建工程不能兼做宿舍，宿舍应有保暖、消暑和煤气中毒、防蚊虫叮咬措施。宿舍周围环境应符合卫生、通风照明等要求，施工现场的厕所等辅助设施应设置齐全并按要求布置整齐，保持清洁，严禁在建筑物内外大小便。</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6、临时用房搭设应合理规范、分布齐全，工地办公室应保持整洁，各项台帐制度及有关资料及时上墙。</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7、工棚宿舍必须定人、定位集中住宿，生活设施应符合卫生要求并制定卫生责任制，生活垃圾应及时清理，设专人管理。严禁男女混住，禁止带家属及小孩进工地，严禁私拉乱接电线，禁止使用电炉、煤油炉取暖、烧饭。</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8、现场应有消防措施制度和灭火器材，并保持完好的备用状态。</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9、生活区应建立治安保卫制度和治安防范措施，责任分解到人。</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10、施工现场大门口的六牌一图，内容健全，标牌规范、整齐，并设置安全标语。</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11、施工现场应制定急救措施和设有常用急救器材，并有经过培训的急救人员经常开展卫生防病宣传教育。</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五、定期或不定期地参加甲方、监理方组织的有甲方、监理、相关负责人参加的安全文明检查。按检查结果提出针对性整改意见、限期整改。</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六、乙方应加强对甲方、监理单位的衔接服务、协调意识，项目负责人应按时参加现场工程协调会和各类工作的衔接，做到不无故缺席或迟到早退，对甲方、监理和其他参加单位提出的需协调的工作，及时准确地作出答复，并积极配合实施。</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七、乙方在施工过程中，一旦发生安全责任事故，有责任积极配合有关部门、甲方、监理做好事故原因的调查取证，查明原因，承担责任以及对善后事宜的妥善处理工作。</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八、上述各项，乙方应认真贯彻执行，如违反上述规定，按处罚细则给予必要的经济处罚，情节严重的，甲方有权对乙方作出如下处罚：停水停电、停工整改、经济处罚，直至勒令退出施工并将有关情况向有关部门通报，由此带来延误工期和经济损失由乙方承担。</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九．本协议经签字盖章之日起生效，</w:t>
      </w:r>
      <w:r>
        <w:rPr>
          <w:rFonts w:hint="eastAsia" w:ascii="仿宋" w:hAnsi="仿宋" w:eastAsia="仿宋" w:cs="仿宋"/>
          <w:highlight w:val="none"/>
        </w:rPr>
        <w:t xml:space="preserve">本合同一式陆份，甲方执肆份，乙方执贰份</w:t>
      </w:r>
      <w:r>
        <w:rPr>
          <w:rFonts w:hint="eastAsia" w:ascii="仿宋" w:hAnsi="仿宋" w:eastAsia="仿宋" w:cs="仿宋"/>
          <w:szCs w:val="21"/>
          <w:highlight w:val="none"/>
        </w:rPr>
        <w:t xml:space="preserve">。</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甲方（盖章）：                             乙方（盖章）：   </w:t>
      </w:r>
      <w:r/>
    </w:p>
    <w:p>
      <w:pPr>
        <w:ind w:firstLine="420"/>
        <w:spacing w:line="440" w:lineRule="exact"/>
        <w:rPr>
          <w:rFonts w:hint="eastAsia" w:ascii="仿宋" w:hAnsi="仿宋" w:eastAsia="仿宋" w:cs="仿宋"/>
          <w:szCs w:val="21"/>
          <w:highlight w:val="none"/>
        </w:rPr>
      </w:pPr>
      <w:r>
        <w:rPr>
          <w:rFonts w:hint="eastAsia" w:ascii="仿宋" w:hAnsi="仿宋" w:eastAsia="仿宋" w:cs="仿宋"/>
          <w:szCs w:val="21"/>
          <w:highlight w:val="none"/>
        </w:rPr>
        <w:t xml:space="preserve">法定代表人或授权委托人：                   法定代表人或授权委托人：      </w:t>
      </w:r>
      <w:r/>
    </w:p>
    <w:p>
      <w:pPr>
        <w:ind w:firstLine="420"/>
        <w:spacing w:line="440" w:lineRule="exact"/>
        <w:rPr>
          <w:rFonts w:hint="eastAsia" w:ascii="仿宋" w:hAnsi="仿宋" w:eastAsia="仿宋" w:cs="仿宋"/>
          <w:highlight w:val="none"/>
        </w:rPr>
      </w:pPr>
      <w:r>
        <w:rPr>
          <w:rFonts w:hint="eastAsia" w:ascii="仿宋" w:hAnsi="仿宋" w:eastAsia="仿宋" w:cs="仿宋"/>
          <w:szCs w:val="21"/>
          <w:highlight w:val="none"/>
        </w:rPr>
        <w:t xml:space="preserve">日  期：                                   日  期：  </w:t>
      </w:r>
      <w:r/>
    </w:p>
    <w:p>
      <w:pPr>
        <w:spacing w:line="360" w:lineRule="auto"/>
        <w:tabs>
          <w:tab w:val="left" w:pos="0" w:leader="none"/>
        </w:tabs>
        <w:rPr>
          <w:rFonts w:hint="eastAsia" w:ascii="仿宋" w:hAnsi="仿宋" w:eastAsia="仿宋" w:cs="仿宋"/>
          <w:b/>
          <w:bCs/>
          <w:sz w:val="28"/>
          <w:szCs w:val="28"/>
          <w:highlight w:val="none"/>
        </w:rPr>
      </w:pPr>
      <w:r>
        <w:rPr>
          <w:rFonts w:hint="eastAsia" w:ascii="仿宋" w:hAnsi="仿宋" w:eastAsia="仿宋" w:cs="仿宋"/>
          <w:szCs w:val="21"/>
          <w:highlight w:val="none"/>
        </w:rPr>
        <w:t xml:space="preserve">      </w:t>
      </w:r>
      <w:r>
        <w:rPr>
          <w:rFonts w:hint="eastAsia" w:ascii="仿宋" w:hAnsi="仿宋" w:eastAsia="仿宋" w:cs="仿宋"/>
          <w:highlight w:val="none"/>
        </w:rPr>
        <w:br w:type="page" w:clear="all"/>
      </w:r>
      <w:r>
        <w:rPr>
          <w:rFonts w:hint="eastAsia" w:ascii="仿宋" w:hAnsi="仿宋" w:eastAsia="仿宋" w:cs="仿宋"/>
          <w:b/>
          <w:bCs/>
          <w:sz w:val="24"/>
          <w:highlight w:val="none"/>
        </w:rPr>
        <w:t xml:space="preserve">附件4：</w:t>
      </w:r>
      <w:r/>
    </w:p>
    <w:p>
      <w:pPr>
        <w:jc w:val="center"/>
        <w:spacing w:line="360" w:lineRule="auto"/>
        <w:tabs>
          <w:tab w:val="left" w:pos="0" w:leader="none"/>
        </w:tabs>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廉政合约</w:t>
      </w:r>
      <w:bookmarkEnd w:id="796"/>
      <w:r/>
      <w:bookmarkEnd w:id="797"/>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为进一步加强工程的廉政建设，甲方（              ）、乙方（             ）特订立如下协议。</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一、甲、乙双方的权利和义务</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1.甲、乙双方应当严格遵守党的政策规定和国家有关法律法规。</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2.甲、乙双方应当严格执行项目的合同文件，自觉按合同办事。</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3.甲、乙双方的业务活动应当坚持公开、公平、公正、诚实、透明的原则。</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4.甲、乙双方不得以任何理由向对方工作人员行贿或馈赠礼金、有价证券、贵重礼品，不得在对方报销任何应当由个人支付的费用。</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5.甲、乙双方不得以任何理由违反廉政自律的有关规定。</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6.甲、乙双方如发现对方严重违反本协议条款的行为，有及时提醒对方、向其上级有关部门举报、建议给予处理并要求告知处理结果的权利。</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二、违约责任</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甲、乙双方及其工作人员违反本协议有关规定的，按管理权限，依据有关规定给予经济处罚或追究党纪政纪责任；涉嫌犯罪的，移交司法机关追究刑事责任；给双方单位造成经济损失的，应当予以赔偿。</w:t>
      </w:r>
      <w:r/>
    </w:p>
    <w:p>
      <w:pPr>
        <w:pStyle w:val="1208"/>
        <w:ind w:firstLine="420"/>
        <w:spacing w:line="480" w:lineRule="auto"/>
        <w:rPr>
          <w:rFonts w:ascii="仿宋" w:hAnsi="仿宋" w:eastAsia="仿宋" w:cs="仿宋"/>
          <w:highlight w:val="none"/>
        </w:rPr>
      </w:pPr>
      <w:r>
        <w:rPr>
          <w:rFonts w:ascii="仿宋" w:hAnsi="仿宋" w:eastAsia="仿宋" w:cs="仿宋"/>
          <w:highlight w:val="none"/>
        </w:rPr>
        <w:t xml:space="preserve"> 三、本协议一式陆份，甲方执肆份，乙方执贰份。</w:t>
      </w:r>
      <w:r/>
    </w:p>
    <w:p>
      <w:pPr>
        <w:pStyle w:val="1208"/>
        <w:ind w:firstLine="420"/>
        <w:spacing w:line="480" w:lineRule="auto"/>
        <w:rPr>
          <w:rFonts w:ascii="仿宋" w:hAnsi="仿宋" w:eastAsia="仿宋" w:cs="仿宋"/>
          <w:highlight w:val="none"/>
        </w:rPr>
      </w:pPr>
      <w:r>
        <w:rPr>
          <w:rFonts w:ascii="仿宋" w:hAnsi="仿宋" w:eastAsia="仿宋" w:cs="仿宋"/>
          <w:highlight w:val="none"/>
        </w:rPr>
      </w:r>
      <w:r/>
    </w:p>
    <w:p>
      <w:pPr>
        <w:pStyle w:val="1222"/>
        <w:contextualSpacing/>
        <w:ind w:firstLine="630"/>
        <w:spacing w:beforeAutospacing="0" w:afterAutospacing="0"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甲方（盖章）：                             乙方（盖章）：   </w:t>
      </w:r>
      <w:r/>
    </w:p>
    <w:p>
      <w:pPr>
        <w:pStyle w:val="1222"/>
        <w:contextualSpacing/>
        <w:ind w:firstLine="630"/>
        <w:spacing w:beforeAutospacing="0" w:afterAutospacing="0"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法定代表人或授权委托人：                   法定代表人或授权委托人：</w:t>
      </w:r>
      <w:r/>
    </w:p>
    <w:p>
      <w:pPr>
        <w:pStyle w:val="1222"/>
        <w:contextualSpacing/>
        <w:ind w:firstLine="630"/>
        <w:spacing w:beforeAutospacing="0" w:afterAutospacing="0" w:line="48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日  期：                                   日  期：    </w:t>
      </w:r>
      <w:r/>
    </w:p>
    <w:p>
      <w:pPr>
        <w:pStyle w:val="1222"/>
        <w:contextualSpacing/>
        <w:ind w:firstLine="200"/>
        <w:jc w:val="center"/>
        <w:spacing w:before="0" w:beforeAutospacing="0" w:after="0" w:afterAutospacing="0" w:line="360" w:lineRule="auto"/>
        <w:rPr>
          <w:rStyle w:val="1243"/>
          <w:rFonts w:hint="eastAsia" w:ascii="仿宋" w:hAnsi="仿宋" w:eastAsia="仿宋" w:cs="仿宋"/>
          <w:highlight w:val="none"/>
        </w:rPr>
      </w:pPr>
      <w:r>
        <w:rPr>
          <w:rStyle w:val="1243"/>
          <w:rFonts w:hint="eastAsia" w:ascii="仿宋" w:hAnsi="仿宋" w:eastAsia="仿宋" w:cs="仿宋"/>
          <w:highlight w:val="none"/>
        </w:rPr>
        <w:br w:type="page" w:clear="all"/>
      </w:r>
      <w:r>
        <w:rPr>
          <w:rStyle w:val="1243"/>
          <w:rFonts w:hint="eastAsia" w:ascii="仿宋" w:hAnsi="仿宋" w:eastAsia="仿宋" w:cs="仿宋"/>
          <w:highlight w:val="none"/>
        </w:rPr>
        <w:t xml:space="preserve">第七章   投标文件格式</w:t>
      </w:r>
      <w:bookmarkEnd w:id="794"/>
      <w:r/>
      <w:r/>
    </w:p>
    <w:p>
      <w:pPr>
        <w:ind w:left="142"/>
        <w:jc w:val="center"/>
        <w:spacing w:line="360" w:lineRule="auto"/>
        <w:tabs>
          <w:tab w:val="left" w:pos="900" w:leader="none"/>
          <w:tab w:val="left" w:pos="1980" w:leader="none"/>
        </w:tabs>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left="142"/>
        <w:jc w:val="center"/>
        <w:spacing w:line="360" w:lineRule="auto"/>
        <w:tabs>
          <w:tab w:val="left" w:pos="900" w:leader="none"/>
          <w:tab w:val="left" w:pos="1980" w:leader="none"/>
        </w:tabs>
        <w:rPr>
          <w:rFonts w:hint="eastAsia" w:ascii="仿宋" w:hAnsi="仿宋" w:eastAsia="仿宋" w:cs="仿宋"/>
          <w:b/>
          <w:sz w:val="24"/>
          <w:highlight w:val="none"/>
        </w:rPr>
      </w:pPr>
      <w:r>
        <w:rPr>
          <w:rFonts w:hint="eastAsia" w:ascii="仿宋" w:hAnsi="仿宋" w:eastAsia="仿宋" w:cs="仿宋"/>
          <w:b/>
          <w:bCs/>
          <w:szCs w:val="21"/>
          <w:highlight w:val="none"/>
        </w:rPr>
        <w:t xml:space="preserve">★</w:t>
      </w:r>
      <w:r>
        <w:rPr>
          <w:rFonts w:hint="eastAsia" w:ascii="仿宋" w:hAnsi="仿宋" w:eastAsia="仿宋" w:cs="仿宋"/>
          <w:b/>
          <w:sz w:val="24"/>
          <w:highlight w:val="none"/>
        </w:rPr>
        <w:t xml:space="preserve">供应商编制文件须知</w:t>
      </w:r>
      <w:r/>
    </w:p>
    <w:p>
      <w:pPr>
        <w:ind w:left="142"/>
        <w:jc w:val="center"/>
        <w:spacing w:line="360" w:lineRule="auto"/>
        <w:tabs>
          <w:tab w:val="left" w:pos="900" w:leader="none"/>
          <w:tab w:val="left" w:pos="198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w:t>
      </w:r>
      <w:r>
        <w:rPr>
          <w:rFonts w:hint="eastAsia" w:ascii="仿宋" w:hAnsi="仿宋" w:eastAsia="仿宋" w:cs="仿宋"/>
          <w:szCs w:val="21"/>
          <w:highlight w:val="none"/>
        </w:rPr>
        <w:t xml:space="preserve">对于招标文件中标记了“实质性格式”文件的，</w:t>
      </w:r>
      <w:r>
        <w:rPr>
          <w:rFonts w:hint="eastAsia" w:ascii="仿宋" w:hAnsi="仿宋" w:eastAsia="仿宋" w:cs="仿宋"/>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szCs w:val="21"/>
          <w:highlight w:val="none"/>
        </w:rPr>
        <w:t xml:space="preserve">否则</w:t>
      </w:r>
      <w:r>
        <w:rPr>
          <w:rFonts w:hint="eastAsia" w:ascii="仿宋" w:hAnsi="仿宋" w:eastAsia="仿宋" w:cs="仿宋"/>
          <w:b/>
          <w:szCs w:val="21"/>
          <w:highlight w:val="none"/>
        </w:rPr>
        <w:t xml:space="preserve">投标无效</w:t>
      </w:r>
      <w:r>
        <w:rPr>
          <w:rFonts w:hint="eastAsia" w:ascii="仿宋" w:hAnsi="仿宋" w:eastAsia="仿宋" w:cs="仿宋"/>
          <w:szCs w:val="21"/>
          <w:highlight w:val="none"/>
        </w:rPr>
        <w:t xml:space="preserve">。未标记“实质性格式”的文件和招</w:t>
      </w:r>
      <w:r>
        <w:rPr>
          <w:rFonts w:hint="eastAsia" w:ascii="仿宋" w:hAnsi="仿宋" w:eastAsia="仿宋" w:cs="仿宋"/>
          <w:szCs w:val="21"/>
          <w:highlight w:val="none"/>
        </w:rPr>
        <w:t xml:space="preserve">标文件未提供格式的内容，可由供应商自行编写。</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3.全部声明和问题的回答及所</w:t>
      </w:r>
      <w:r>
        <w:rPr>
          <w:rFonts w:hint="eastAsia" w:ascii="仿宋" w:hAnsi="仿宋" w:eastAsia="仿宋" w:cs="仿宋"/>
          <w:szCs w:val="21"/>
          <w:highlight w:val="none"/>
        </w:rPr>
        <w:t xml:space="preserve">附材料必须是真实的、准确的和完整的。</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4.实行电子化不见面交易方式的，加盖公章、签名等均通过投标文件编制工具加盖电子公章、签字、签章或印鉴。</w:t>
      </w:r>
      <w:r/>
    </w:p>
    <w:p>
      <w:pPr>
        <w:ind w:left="142" w:firstLine="420"/>
        <w:spacing w:line="480" w:lineRule="auto"/>
        <w:tabs>
          <w:tab w:val="left" w:pos="900" w:leader="none"/>
          <w:tab w:val="left" w:pos="1980" w:leader="none"/>
        </w:tabs>
        <w:rPr>
          <w:rFonts w:hint="eastAsia" w:ascii="仿宋" w:hAnsi="仿宋" w:eastAsia="仿宋" w:cs="仿宋"/>
          <w:szCs w:val="21"/>
          <w:highlight w:val="none"/>
        </w:rPr>
      </w:pPr>
      <w:r>
        <w:rPr>
          <w:rFonts w:hint="eastAsia" w:ascii="仿宋" w:hAnsi="仿宋" w:eastAsia="仿宋" w:cs="仿宋"/>
          <w:szCs w:val="21"/>
          <w:highlight w:val="none"/>
        </w:rPr>
      </w:r>
      <w:r/>
    </w:p>
    <w:p>
      <w:pPr>
        <w:jc w:val="left"/>
        <w:widowControl/>
        <w:rPr>
          <w:rFonts w:hint="eastAsia" w:ascii="仿宋" w:hAnsi="仿宋" w:eastAsia="仿宋" w:cs="仿宋"/>
          <w:b/>
          <w:sz w:val="30"/>
          <w:szCs w:val="20"/>
          <w:highlight w:val="none"/>
        </w:rPr>
      </w:pPr>
      <w:r>
        <w:rPr>
          <w:rFonts w:hint="eastAsia" w:ascii="仿宋" w:hAnsi="仿宋" w:eastAsia="仿宋" w:cs="仿宋"/>
          <w:sz w:val="24"/>
          <w:highlight w:val="none"/>
        </w:rPr>
        <w:br w:type="page" w:clear="all"/>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rPr>
          <w:rFonts w:hint="eastAsia" w:ascii="仿宋" w:hAnsi="仿宋" w:eastAsia="仿宋" w:cs="仿宋"/>
          <w:b/>
          <w:spacing w:val="20"/>
          <w:sz w:val="24"/>
          <w:highlight w:val="none"/>
        </w:rPr>
        <w:t xml:space="preserve">一、资格证明文件格式</w:t>
      </w:r>
      <w:r/>
    </w:p>
    <w:p>
      <w:pPr>
        <w:rPr>
          <w:rFonts w:hint="eastAsia" w:ascii="仿宋" w:hAnsi="仿宋" w:eastAsia="仿宋" w:cs="仿宋"/>
          <w:b/>
          <w:spacing w:val="20"/>
          <w:szCs w:val="21"/>
          <w:highlight w:val="none"/>
        </w:rPr>
      </w:pPr>
      <w:r>
        <w:rPr>
          <w:rFonts w:hint="eastAsia" w:ascii="仿宋" w:hAnsi="仿宋" w:eastAsia="仿宋" w:cs="仿宋"/>
          <w:b/>
          <w:spacing w:val="20"/>
          <w:szCs w:val="21"/>
          <w:highlight w:val="none"/>
        </w:rPr>
      </w:r>
      <w:r/>
    </w:p>
    <w:p>
      <w:pPr>
        <w:rPr>
          <w:rFonts w:hint="eastAsia" w:ascii="仿宋" w:hAnsi="仿宋" w:eastAsia="仿宋" w:cs="仿宋"/>
          <w:b/>
          <w:sz w:val="24"/>
          <w:highlight w:val="none"/>
        </w:rPr>
      </w:pPr>
      <w:r>
        <w:rPr>
          <w:rFonts w:hint="eastAsia" w:ascii="仿宋" w:hAnsi="仿宋" w:eastAsia="仿宋" w:cs="仿宋"/>
          <w:b/>
          <w:spacing w:val="20"/>
          <w:sz w:val="24"/>
          <w:highlight w:val="none"/>
        </w:rPr>
        <w:t xml:space="preserve">投标文件</w:t>
      </w:r>
      <w:r>
        <w:rPr>
          <w:rFonts w:hint="eastAsia" w:ascii="仿宋" w:hAnsi="仿宋" w:eastAsia="仿宋" w:cs="仿宋"/>
          <w:b/>
          <w:sz w:val="24"/>
          <w:highlight w:val="none"/>
        </w:rPr>
        <w:t xml:space="preserve">封面（非实质性格式）</w:t>
      </w:r>
      <w:r/>
    </w:p>
    <w:p>
      <w:pPr>
        <w:jc w:val="center"/>
        <w:rPr>
          <w:rFonts w:hint="eastAsia" w:ascii="仿宋" w:hAnsi="仿宋" w:eastAsia="仿宋" w:cs="仿宋"/>
          <w:szCs w:val="21"/>
          <w:highlight w:val="none"/>
        </w:rPr>
      </w:pPr>
      <w:r>
        <w:rPr>
          <w:rFonts w:hint="eastAsia" w:ascii="仿宋" w:hAnsi="仿宋" w:eastAsia="仿宋" w:cs="仿宋"/>
          <w:szCs w:val="21"/>
          <w:highlight w:val="none"/>
        </w:rPr>
      </w:r>
      <w:r/>
    </w:p>
    <w:p>
      <w:pPr>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r>
      <w:r/>
    </w:p>
    <w:p>
      <w:pPr>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r>
      <w:r/>
    </w:p>
    <w:p>
      <w:pPr>
        <w:jc w:val="center"/>
        <w:rPr>
          <w:rFonts w:hint="eastAsia" w:ascii="仿宋" w:hAnsi="仿宋" w:eastAsia="仿宋" w:cs="仿宋"/>
          <w:b/>
          <w:spacing w:val="60"/>
          <w:sz w:val="84"/>
          <w:szCs w:val="84"/>
          <w:highlight w:val="none"/>
        </w:rPr>
      </w:pPr>
      <w:r>
        <w:rPr>
          <w:rFonts w:hint="eastAsia" w:ascii="仿宋" w:hAnsi="仿宋" w:eastAsia="仿宋" w:cs="仿宋"/>
          <w:b/>
          <w:spacing w:val="60"/>
          <w:sz w:val="84"/>
          <w:szCs w:val="84"/>
          <w:highlight w:val="none"/>
        </w:rPr>
        <w:t xml:space="preserve">投 标 文 件</w:t>
      </w:r>
      <w:r/>
    </w:p>
    <w:p>
      <w:pPr>
        <w:ind w:firstLine="963"/>
        <w:rPr>
          <w:rFonts w:hint="eastAsia" w:ascii="仿宋" w:hAnsi="仿宋" w:eastAsia="仿宋" w:cs="仿宋"/>
          <w:b/>
          <w:spacing w:val="60"/>
          <w:sz w:val="52"/>
          <w:szCs w:val="52"/>
          <w:highlight w:val="none"/>
        </w:rPr>
      </w:pPr>
      <w:r>
        <w:rPr>
          <w:rFonts w:hint="eastAsia" w:ascii="仿宋" w:hAnsi="仿宋" w:eastAsia="仿宋" w:cs="仿宋"/>
          <w:b/>
          <w:spacing w:val="60"/>
          <w:sz w:val="52"/>
          <w:szCs w:val="52"/>
          <w:highlight w:val="none"/>
        </w:rPr>
      </w:r>
      <w:r/>
    </w:p>
    <w:p>
      <w:pPr>
        <w:ind w:firstLine="963"/>
        <w:rPr>
          <w:rFonts w:hint="eastAsia" w:ascii="仿宋" w:hAnsi="仿宋" w:eastAsia="仿宋" w:cs="仿宋"/>
          <w:b/>
          <w:spacing w:val="60"/>
          <w:sz w:val="52"/>
          <w:szCs w:val="52"/>
          <w:highlight w:val="none"/>
        </w:rPr>
      </w:pPr>
      <w:r>
        <w:rPr>
          <w:rFonts w:hint="eastAsia" w:ascii="仿宋" w:hAnsi="仿宋" w:eastAsia="仿宋" w:cs="仿宋"/>
          <w:b/>
          <w:spacing w:val="60"/>
          <w:sz w:val="52"/>
          <w:szCs w:val="52"/>
          <w:highlight w:val="none"/>
        </w:rPr>
      </w:r>
      <w:r/>
    </w:p>
    <w:p>
      <w:pPr>
        <w:ind w:firstLine="542"/>
        <w:rPr>
          <w:rFonts w:hint="eastAsia" w:ascii="仿宋" w:hAnsi="仿宋" w:eastAsia="仿宋" w:cs="仿宋"/>
          <w:b/>
          <w:spacing w:val="20"/>
          <w:sz w:val="32"/>
          <w:szCs w:val="32"/>
          <w:highlight w:val="none"/>
        </w:rPr>
      </w:pPr>
      <w:r>
        <w:rPr>
          <w:rFonts w:hint="eastAsia" w:ascii="仿宋" w:hAnsi="仿宋" w:eastAsia="仿宋" w:cs="仿宋"/>
          <w:b/>
          <w:spacing w:val="20"/>
          <w:sz w:val="32"/>
          <w:szCs w:val="32"/>
          <w:highlight w:val="none"/>
        </w:rPr>
      </w:r>
      <w:r/>
    </w:p>
    <w:p>
      <w:pPr>
        <w:ind w:firstLine="542"/>
        <w:rPr>
          <w:rFonts w:hint="eastAsia" w:ascii="仿宋" w:hAnsi="仿宋" w:eastAsia="仿宋" w:cs="仿宋"/>
          <w:b/>
          <w:spacing w:val="20"/>
          <w:sz w:val="32"/>
          <w:szCs w:val="32"/>
          <w:highlight w:val="none"/>
        </w:rPr>
      </w:pPr>
      <w:r>
        <w:rPr>
          <w:rFonts w:hint="eastAsia" w:ascii="仿宋" w:hAnsi="仿宋" w:eastAsia="仿宋" w:cs="仿宋"/>
          <w:b/>
          <w:spacing w:val="20"/>
          <w:sz w:val="32"/>
          <w:szCs w:val="32"/>
          <w:highlight w:val="none"/>
        </w:rPr>
      </w:r>
      <w:r/>
    </w:p>
    <w:tbl>
      <w:tblPr>
        <w:tblStyle w:val="1195"/>
        <w:tblW w:w="9030" w:type="dxa"/>
        <w:jc w:val="center"/>
        <w:tblLayout w:type="autofit"/>
        <w:tblCellMar>
          <w:left w:w="108" w:type="dxa"/>
          <w:top w:w="0" w:type="dxa"/>
          <w:right w:w="108" w:type="dxa"/>
          <w:bottom w:w="0" w:type="dxa"/>
        </w:tblCellMar>
        <w:tblLook w:val="04A0" w:firstRow="1" w:lastRow="0" w:firstColumn="1" w:lastColumn="0" w:noHBand="0" w:noVBand="1"/>
      </w:tblPr>
      <w:tblGrid>
        <w:gridCol w:w="2651"/>
        <w:gridCol w:w="6379"/>
      </w:tblGrid>
      <w:tr>
        <w:trPr>
          <w:jc w:val="center"/>
          <w:trHeight w:val="886"/>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项 目 名 称：</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rPr>
              <w:t xml:space="preserve">新北区人民医院项目一期气动物流设备采购</w:t>
            </w:r>
            <w:r/>
          </w:p>
        </w:tc>
      </w:tr>
      <w:tr>
        <w:trPr>
          <w:jc w:val="center"/>
          <w:trHeight w:val="84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项 目 编 号：</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
                <w:sz w:val="32"/>
                <w:szCs w:val="32"/>
                <w:highlight w:val="none"/>
                <w:u w:val="single"/>
                <w:lang w:eastAsia="zh-CN"/>
              </w:rPr>
              <w:t xml:space="preserve">JSZC-320411-SCJX-G2026-0005</w:t>
            </w:r>
            <w:r>
              <w:rPr>
                <w:rFonts w:hint="eastAsia" w:ascii="仿宋" w:hAnsi="仿宋" w:eastAsia="仿宋" w:cs="仿宋"/>
                <w:b/>
                <w:sz w:val="32"/>
                <w:szCs w:val="32"/>
                <w:highlight w:val="none"/>
                <w:u w:val="single"/>
              </w:rPr>
              <w:t xml:space="preserve">               </w:t>
            </w:r>
            <w:r/>
          </w:p>
        </w:tc>
      </w:tr>
      <w:tr>
        <w:trPr>
          <w:jc w:val="center"/>
          <w:trHeight w:val="982"/>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投   标  人：</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rPr>
            </w:pPr>
            <w:r>
              <w:rPr>
                <w:rFonts w:hint="eastAsia" w:ascii="仿宋" w:hAnsi="仿宋" w:eastAsia="仿宋" w:cs="仿宋"/>
                <w:bCs/>
                <w:sz w:val="36"/>
                <w:szCs w:val="36"/>
                <w:highlight w:val="none"/>
              </w:rPr>
            </w:r>
            <w:r/>
          </w:p>
        </w:tc>
      </w:tr>
      <w:tr>
        <w:trPr>
          <w:jc w:val="center"/>
          <w:trHeight w:val="995"/>
        </w:trPr>
        <w:tc>
          <w:tcPr>
            <w:tcW w:w="2651" w:type="dxa"/>
            <w:vAlign w:val="center"/>
            <w:textDirection w:val="lrTb"/>
            <w:noWrap w:val="false"/>
          </w:tcPr>
          <w:p>
            <w:pPr>
              <w:jc w:val="left"/>
              <w:spacing w:line="360" w:lineRule="auto"/>
              <w:tabs>
                <w:tab w:val="left" w:pos="5609" w:leader="none"/>
              </w:tabs>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日       期：</w:t>
            </w:r>
            <w:r/>
          </w:p>
        </w:tc>
        <w:tc>
          <w:tcPr>
            <w:tcW w:w="6379" w:type="dxa"/>
            <w:vAlign w:val="center"/>
            <w:textDirection w:val="lrTb"/>
            <w:noWrap w:val="false"/>
          </w:tcPr>
          <w:p>
            <w:pPr>
              <w:jc w:val="left"/>
              <w:spacing w:line="360" w:lineRule="auto"/>
              <w:tabs>
                <w:tab w:val="left" w:pos="5609" w:leader="none"/>
              </w:tabs>
              <w:rPr>
                <w:rFonts w:hint="eastAsia" w:ascii="仿宋" w:hAnsi="仿宋" w:eastAsia="仿宋" w:cs="仿宋"/>
                <w:bCs/>
                <w:sz w:val="36"/>
                <w:szCs w:val="36"/>
                <w:highlight w:val="none"/>
                <w:u w:val="single"/>
              </w:rPr>
            </w:pPr>
            <w:r>
              <w:rPr>
                <w:rFonts w:hint="eastAsia" w:ascii="仿宋" w:hAnsi="仿宋" w:eastAsia="仿宋" w:cs="仿宋"/>
                <w:bCs/>
                <w:sz w:val="36"/>
                <w:szCs w:val="36"/>
                <w:highlight w:val="none"/>
                <w:u w:val="single"/>
              </w:rPr>
            </w:r>
            <w:r/>
          </w:p>
        </w:tc>
      </w:tr>
    </w:tbl>
    <w:p>
      <w:pPr>
        <w:rPr>
          <w:rFonts w:hint="eastAsia" w:ascii="仿宋" w:hAnsi="仿宋" w:eastAsia="仿宋" w:cs="仿宋"/>
          <w:b/>
          <w:sz w:val="36"/>
          <w:highlight w:val="none"/>
        </w:rPr>
      </w:pPr>
      <w:r>
        <w:rPr>
          <w:rFonts w:hint="eastAsia" w:ascii="仿宋" w:hAnsi="仿宋" w:eastAsia="仿宋" w:cs="仿宋"/>
          <w:b/>
          <w:sz w:val="36"/>
          <w:highlight w:val="none"/>
          <w:u w:val="single"/>
        </w:rPr>
        <w:t xml:space="preserve">            </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sz w:val="32"/>
          <w:szCs w:val="32"/>
          <w:highlight w:val="none"/>
        </w:rPr>
      </w:pPr>
      <w:r>
        <w:rPr>
          <w:rFonts w:hint="eastAsia" w:ascii="仿宋" w:hAnsi="仿宋" w:eastAsia="仿宋" w:cs="仿宋"/>
          <w:b/>
          <w:spacing w:val="20"/>
          <w:sz w:val="32"/>
          <w:szCs w:val="32"/>
          <w:highlight w:val="none"/>
        </w:rPr>
        <w:br w:type="page" w:clear="all"/>
      </w:r>
      <w:r>
        <w:rPr>
          <w:rFonts w:hint="eastAsia" w:ascii="仿宋" w:hAnsi="仿宋" w:eastAsia="仿宋" w:cs="仿宋"/>
          <w:b/>
          <w:sz w:val="32"/>
          <w:szCs w:val="32"/>
          <w:highlight w:val="none"/>
        </w:rPr>
        <w:t xml:space="preserve">一、资格证明文件</w:t>
      </w:r>
      <w:r/>
    </w:p>
    <w:p>
      <w:pPr>
        <w:rPr>
          <w:rFonts w:hint="eastAsia" w:ascii="仿宋" w:hAnsi="仿宋" w:eastAsia="仿宋" w:cs="仿宋"/>
          <w:b/>
          <w:highlight w:val="none"/>
        </w:rPr>
      </w:pPr>
      <w:r>
        <w:rPr>
          <w:rFonts w:hint="eastAsia" w:ascii="仿宋" w:hAnsi="仿宋" w:eastAsia="仿宋" w:cs="仿宋"/>
          <w:b/>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t xml:space="preserve">1 </w:t>
      </w:r>
      <w:r>
        <w:rPr>
          <w:rFonts w:hint="eastAsia" w:ascii="仿宋" w:hAnsi="仿宋" w:eastAsia="仿宋" w:cs="仿宋"/>
          <w:sz w:val="24"/>
          <w:highlight w:val="none"/>
        </w:rPr>
        <w:t xml:space="preserve">满足《中华人民共和国政府采购法》第二十二条规定及法律法规的其他规定</w:t>
      </w:r>
      <w:r/>
    </w:p>
    <w:p>
      <w:pPr>
        <w:pStyle w:val="1187"/>
        <w:rPr>
          <w:rFonts w:hint="eastAsia" w:ascii="仿宋" w:hAnsi="仿宋" w:eastAsia="仿宋" w:cs="仿宋"/>
          <w:bCs/>
          <w:highlight w:val="none"/>
          <w:u w:val="none"/>
        </w:rPr>
      </w:pPr>
      <w:r>
        <w:rPr>
          <w:rFonts w:hint="eastAsia" w:ascii="仿宋" w:hAnsi="仿宋" w:eastAsia="仿宋" w:cs="仿宋"/>
          <w:bCs/>
          <w:highlight w:val="none"/>
          <w:u w:val="none"/>
        </w:rPr>
        <w:t xml:space="preserve">1-1 供应商资格声明函（实质性格式）</w:t>
      </w:r>
      <w:r/>
    </w:p>
    <w:p>
      <w:pPr>
        <w:jc w:val="center"/>
        <w:spacing w:before="120" w:line="360" w:lineRule="auto"/>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before="120" w:line="360" w:lineRule="auto"/>
        <w:widowControl/>
        <w:rPr>
          <w:rFonts w:hint="eastAsia" w:ascii="仿宋" w:hAnsi="仿宋" w:eastAsia="仿宋" w:cs="仿宋"/>
          <w:szCs w:val="21"/>
          <w:highlight w:val="none"/>
        </w:rPr>
      </w:pPr>
      <w:r>
        <w:rPr>
          <w:rFonts w:hint="eastAsia" w:ascii="仿宋" w:hAnsi="仿宋" w:eastAsia="仿宋" w:cs="仿宋"/>
          <w:b/>
          <w:sz w:val="28"/>
          <w:szCs w:val="28"/>
          <w:highlight w:val="none"/>
        </w:rPr>
        <w:t xml:space="preserve">供应商资格声明函</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致：</w:t>
      </w:r>
      <w:r>
        <w:rPr>
          <w:rFonts w:hint="eastAsia" w:ascii="仿宋" w:hAnsi="仿宋" w:eastAsia="仿宋" w:cs="仿宋"/>
          <w:color w:val="auto"/>
          <w:sz w:val="21"/>
          <w:szCs w:val="21"/>
          <w:highlight w:val="none"/>
          <w:u w:val="single"/>
        </w:rPr>
        <w:t xml:space="preserve">常州国家高新技术产业开发区(新北区)卫生健康局、江苏城建校工程咨询有限公司</w:t>
      </w:r>
      <w:r>
        <w:rPr>
          <w:rFonts w:hint="eastAsia" w:ascii="仿宋" w:hAnsi="仿宋" w:eastAsia="仿宋" w:cs="仿宋"/>
          <w:color w:val="auto"/>
          <w:sz w:val="21"/>
          <w:szCs w:val="21"/>
          <w:highlight w:val="none"/>
        </w:rPr>
        <w:t xml:space="preserve">：</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按照《中华人民共和国政府采购法》第二十二条和招标文件的规定，我单位郑重声明如下：</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一、我单位是按照中华人民共和国法律规定登记注册的，注册地点为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，全称为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，统一社会信用代码为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，法定代表人（单位负责人）为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，具有独立承担民事责任的能力。</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二、我单位具有良好的商业信誉（指供应商经营状况良好，无本资格声明第九条情形）和健全的财务会计制度。</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三、我单位依法进行纳税和社会保险申报并实际履行了义务。</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282"/>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主要设备有：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1282"/>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主要专业技术能力有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六、我单位具备法律、行政法规规定的其他条件。</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七、与我单位存在“单位负责人为同一人或者存在直接控股、管理关系”的其他单位信息如下（如无此情形的，填写“无”）：</w:t>
      </w:r>
      <w:r/>
    </w:p>
    <w:p>
      <w:pPr>
        <w:pStyle w:val="1282"/>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1、与我单位的法定代表人（单位负责人）为同一人的其他单位如下：</w:t>
      </w:r>
      <w:r>
        <w:rPr>
          <w:rFonts w:hint="eastAsia" w:ascii="仿宋" w:hAnsi="仿宋" w:eastAsia="仿宋" w:cs="仿宋"/>
          <w:color w:val="auto"/>
          <w:sz w:val="21"/>
          <w:szCs w:val="21"/>
          <w:highlight w:val="none"/>
          <w:u w:val="single"/>
        </w:rPr>
        <w:t xml:space="preserve">               </w:t>
      </w:r>
      <w:r/>
    </w:p>
    <w:p>
      <w:pPr>
        <w:pStyle w:val="1282"/>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2、我单位直接控股的其他单位如下：</w:t>
      </w:r>
      <w:r>
        <w:rPr>
          <w:rFonts w:hint="eastAsia" w:ascii="仿宋" w:hAnsi="仿宋" w:eastAsia="仿宋" w:cs="仿宋"/>
          <w:color w:val="auto"/>
          <w:sz w:val="21"/>
          <w:szCs w:val="21"/>
          <w:highlight w:val="none"/>
          <w:u w:val="single"/>
        </w:rPr>
        <w:t xml:space="preserve">                     </w:t>
      </w:r>
      <w:r/>
    </w:p>
    <w:p>
      <w:pPr>
        <w:pStyle w:val="1282"/>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3、与我单位存在管理关系的其他单位如下：</w:t>
      </w:r>
      <w:r>
        <w:rPr>
          <w:rFonts w:hint="eastAsia" w:ascii="仿宋" w:hAnsi="仿宋" w:eastAsia="仿宋" w:cs="仿宋"/>
          <w:color w:val="auto"/>
          <w:sz w:val="21"/>
          <w:szCs w:val="21"/>
          <w:highlight w:val="none"/>
          <w:u w:val="single"/>
        </w:rPr>
        <w:t xml:space="preserve">               </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八、我单位不属于为本项目提供整体设计、规范编制或者项目管理、监理、检测等服务的投标人。</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九、我单位无以下不良信用记录情形：</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1.在“信用中国”网站被列入失信被执行人和重大税收违法案件当事人名单；</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2.在“中国政府采购网”网站被列入政府采购严重违法失信行为记录名单；</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3.不符合《政府采购法》第二十二条规定的条件。</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我单位保证上述声明的事项都是真实的，如有虚假，我单位愿意承担相应的法律责任，并承担因此所造成的一切损失。</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供应商：（加盖公章）</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法定代表人（或单位负责人）签字或盖章：</w:t>
      </w:r>
      <w:r/>
    </w:p>
    <w:p>
      <w:pPr>
        <w:pStyle w:val="1282"/>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日期：    年    月    日</w:t>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28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b/>
          <w:bCs/>
          <w:szCs w:val="21"/>
          <w:highlight w:val="none"/>
        </w:rPr>
        <w:br w:type="page" w:clear="all"/>
      </w:r>
      <w:r>
        <w:rPr>
          <w:rFonts w:hint="eastAsia" w:ascii="仿宋" w:hAnsi="仿宋" w:eastAsia="仿宋" w:cs="仿宋"/>
          <w:sz w:val="24"/>
          <w:szCs w:val="20"/>
          <w:highlight w:val="none"/>
        </w:rPr>
        <w:t xml:space="preserve">2 落实政府采购政策需满足的资格要求</w:t>
      </w:r>
      <w:r/>
    </w:p>
    <w:p>
      <w:pPr>
        <w:spacing w:line="360" w:lineRule="auto"/>
        <w:rPr>
          <w:rFonts w:hint="eastAsia" w:ascii="仿宋" w:hAnsi="仿宋" w:eastAsia="仿宋" w:cs="仿宋"/>
          <w:b/>
          <w:bCs/>
          <w:sz w:val="24"/>
          <w:szCs w:val="20"/>
          <w:highlight w:val="none"/>
        </w:rPr>
        <w:outlineLvl w:val="2"/>
      </w:pPr>
      <w:r>
        <w:rPr>
          <w:rFonts w:hint="eastAsia" w:ascii="仿宋" w:hAnsi="仿宋" w:eastAsia="仿宋" w:cs="仿宋"/>
          <w:b/>
          <w:bCs/>
          <w:szCs w:val="21"/>
          <w:highlight w:val="none"/>
        </w:rPr>
        <w:t xml:space="preserve">中小企业声明函（本项目不专门面向中小企业采购）</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投标的，《中小企业声明函》由牵头人出具。</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1237"/>
          <w:rFonts w:hint="eastAsia" w:ascii="仿宋" w:hAnsi="仿宋" w:eastAsia="仿宋" w:cs="仿宋"/>
          <w:color w:val="auto"/>
          <w:szCs w:val="21"/>
          <w:highlight w:val="none"/>
        </w:rPr>
        <w:t xml:space="preserve">http://202.106.120.146/baosong/appweb/orgScale.html</w:t>
      </w:r>
      <w:r>
        <w:rPr>
          <w:rStyle w:val="1237"/>
          <w:rFonts w:hint="eastAsia" w:ascii="仿宋" w:hAnsi="仿宋" w:eastAsia="仿宋" w:cs="仿宋"/>
          <w:color w:val="auto"/>
          <w:szCs w:val="21"/>
          <w:highlight w:val="none"/>
        </w:rPr>
        <w:fldChar w:fldCharType="end"/>
      </w:r>
      <w:r>
        <w:rPr>
          <w:rFonts w:hint="eastAsia" w:ascii="仿宋" w:hAnsi="仿宋" w:eastAsia="仿宋" w:cs="仿宋"/>
          <w:szCs w:val="21"/>
          <w:highlight w:val="none"/>
        </w:rPr>
        <w:t xml:space="preserve">）</w:t>
      </w:r>
      <w:r/>
    </w:p>
    <w:p>
      <w:pPr>
        <w:spacing w:line="360" w:lineRule="auto"/>
        <w:tabs>
          <w:tab w:val="left" w:pos="5580" w:leader="none"/>
        </w:tabs>
        <w:rPr>
          <w:rFonts w:hint="eastAsia" w:ascii="仿宋" w:hAnsi="仿宋" w:eastAsia="仿宋" w:cs="仿宋"/>
          <w:b/>
          <w:szCs w:val="21"/>
          <w:highlight w:val="none"/>
        </w:rPr>
      </w:pPr>
      <w:r>
        <w:rPr>
          <w:rFonts w:hint="eastAsia" w:ascii="仿宋" w:hAnsi="仿宋" w:eastAsia="仿宋" w:cs="仿宋"/>
          <w:szCs w:val="21"/>
          <w:highlight w:val="none"/>
        </w:rPr>
        <w:t xml:space="preserve">6）</w:t>
      </w:r>
      <w:r>
        <w:rPr>
          <w:rFonts w:hint="eastAsia" w:ascii="仿宋" w:hAnsi="仿宋" w:eastAsia="仿宋" w:cs="仿宋"/>
          <w:b/>
          <w:szCs w:val="21"/>
          <w:highlight w:val="none"/>
        </w:rPr>
        <w:t xml:space="preserve">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仿宋" w:hAnsi="仿宋" w:eastAsia="仿宋" w:cs="仿宋"/>
          <w:b/>
          <w:szCs w:val="21"/>
          <w:highlight w:val="none"/>
        </w:rPr>
      </w:pPr>
      <w:r>
        <w:rPr>
          <w:rFonts w:hint="eastAsia" w:ascii="仿宋" w:hAnsi="仿宋" w:eastAsia="仿宋" w:cs="仿宋"/>
          <w:b/>
          <w:szCs w:val="21"/>
          <w:highlight w:val="none"/>
        </w:rPr>
        <w:t xml:space="preserve">7）小微企业未提供声明函的，价格分评审将不予价格扣除。</w:t>
      </w:r>
      <w:r/>
    </w:p>
    <w:p>
      <w:pPr>
        <w:ind w:firstLine="422"/>
        <w:spacing w:line="360" w:lineRule="auto"/>
        <w:tabs>
          <w:tab w:val="left" w:pos="5580" w:leader="none"/>
        </w:tabs>
        <w:rPr>
          <w:rStyle w:val="1412"/>
          <w:rFonts w:hint="eastAsia" w:ascii="仿宋" w:hAnsi="仿宋" w:eastAsia="仿宋" w:cs="仿宋"/>
          <w:b/>
          <w:bCs/>
          <w:sz w:val="21"/>
          <w:szCs w:val="21"/>
          <w:highlight w:val="none"/>
        </w:rPr>
      </w:pPr>
      <w:r>
        <w:rPr>
          <w:rStyle w:val="1412"/>
          <w:rFonts w:hint="eastAsia" w:ascii="仿宋" w:hAnsi="仿宋" w:eastAsia="仿宋" w:cs="仿宋"/>
          <w:b/>
          <w:bCs/>
          <w:sz w:val="21"/>
          <w:szCs w:val="21"/>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firstLine="422"/>
        <w:spacing w:line="360" w:lineRule="auto"/>
        <w:tabs>
          <w:tab w:val="left" w:pos="5580" w:leader="none"/>
        </w:tabs>
        <w:rPr>
          <w:rStyle w:val="1412"/>
          <w:rFonts w:hint="eastAsia" w:ascii="仿宋" w:hAnsi="仿宋" w:eastAsia="仿宋" w:cs="仿宋"/>
          <w:b/>
          <w:bCs/>
          <w:sz w:val="21"/>
          <w:szCs w:val="21"/>
          <w:highlight w:val="none"/>
        </w:rPr>
      </w:pPr>
      <w:r>
        <w:rPr>
          <w:rFonts w:hint="eastAsia" w:ascii="仿宋" w:hAnsi="仿宋" w:eastAsia="仿宋" w:cs="仿宋"/>
          <w:b/>
          <w:bCs/>
          <w:sz w:val="21"/>
          <w:szCs w:val="21"/>
          <w:highlight w:val="none"/>
        </w:rPr>
      </w:r>
      <w:r/>
    </w:p>
    <w:p>
      <w:pPr>
        <w:pStyle w:val="1187"/>
        <w:jc w:val="center"/>
        <w:spacing w:line="360" w:lineRule="auto"/>
        <w:rPr>
          <w:rFonts w:hint="eastAsia" w:ascii="仿宋" w:hAnsi="仿宋" w:eastAsia="仿宋" w:cs="仿宋"/>
          <w:b w:val="0"/>
          <w:sz w:val="36"/>
          <w:szCs w:val="36"/>
          <w:highlight w:val="none"/>
        </w:rPr>
      </w:pPr>
      <w:r>
        <w:rPr>
          <w:rFonts w:hint="eastAsia" w:ascii="仿宋" w:hAnsi="仿宋" w:eastAsia="仿宋" w:cs="仿宋"/>
          <w:highlight w:val="none"/>
        </w:rPr>
        <w:br w:type="page" w:clear="all"/>
      </w:r>
      <w:r>
        <w:rPr>
          <w:rFonts w:hint="eastAsia" w:ascii="仿宋" w:hAnsi="仿宋" w:eastAsia="仿宋" w:cs="仿宋"/>
          <w:sz w:val="36"/>
          <w:szCs w:val="36"/>
          <w:highlight w:val="none"/>
          <w:u w:val="none"/>
        </w:rPr>
        <w:t xml:space="preserve">中小企业声明函（货物）格式</w:t>
      </w:r>
      <w:r/>
    </w:p>
    <w:p>
      <w:pPr>
        <w:ind w:left="220" w:right="415" w:firstLine="64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本公司（联合体）郑重声明，根据《政府采购促进中小企业发展管理办法》（财库﹝2020﹞46号）的规定，本公司（联合体）参加</w:t>
      </w:r>
      <w:r>
        <w:rPr>
          <w:rFonts w:hint="eastAsia" w:ascii="仿宋" w:hAnsi="仿宋" w:eastAsia="仿宋" w:cs="仿宋"/>
          <w:i/>
          <w:sz w:val="24"/>
          <w:highlight w:val="none"/>
          <w:u w:val="single"/>
        </w:rPr>
        <w:t xml:space="preserve">（单位名称）</w:t>
      </w:r>
      <w:r>
        <w:rPr>
          <w:rFonts w:hint="eastAsia" w:ascii="仿宋" w:hAnsi="仿宋" w:eastAsia="仿宋" w:cs="仿宋"/>
          <w:sz w:val="24"/>
          <w:highlight w:val="none"/>
        </w:rPr>
        <w:t xml:space="preserve">的</w:t>
      </w:r>
      <w:r>
        <w:rPr>
          <w:rFonts w:hint="eastAsia" w:ascii="仿宋" w:hAnsi="仿宋" w:eastAsia="仿宋" w:cs="仿宋"/>
          <w:i/>
          <w:sz w:val="24"/>
          <w:highlight w:val="none"/>
          <w:u w:val="single"/>
        </w:rPr>
        <w:t xml:space="preserve">（项目名称）</w:t>
      </w:r>
      <w:r>
        <w:rPr>
          <w:rFonts w:hint="eastAsia" w:ascii="仿宋" w:hAnsi="仿宋" w:eastAsia="仿宋" w:cs="仿宋"/>
          <w:sz w:val="24"/>
          <w:highlight w:val="none"/>
        </w:rPr>
        <w:t xml:space="preserve">采购活动，提供的货物全部由符合政策要求的中小企业制造。相关企业（含联合体中的中小企业、签订分包意向协议的中小企业）的具体情况如下：</w:t>
      </w:r>
      <w:r/>
    </w:p>
    <w:p>
      <w:pPr>
        <w:numPr>
          <w:ilvl w:val="0"/>
          <w:numId w:val="9"/>
        </w:numPr>
        <w:ind w:right="169" w:firstLine="646"/>
        <w:jc w:val="left"/>
        <w:spacing w:line="360" w:lineRule="auto"/>
        <w:tabs>
          <w:tab w:val="left" w:pos="1183" w:leader="none"/>
          <w:tab w:val="left" w:pos="1484" w:leader="none"/>
          <w:tab w:val="left" w:pos="4662" w:leader="none"/>
          <w:tab w:val="left" w:pos="6903" w:leader="none"/>
        </w:tabs>
        <w:rPr>
          <w:rFonts w:hint="eastAsia" w:ascii="仿宋" w:hAnsi="仿宋" w:eastAsia="仿宋" w:cs="仿宋"/>
          <w:sz w:val="24"/>
          <w:highlight w:val="none"/>
        </w:rPr>
      </w:pPr>
      <w:r>
        <w:rPr>
          <w:rFonts w:hint="eastAsia" w:ascii="仿宋" w:hAnsi="仿宋" w:eastAsia="仿宋" w:cs="仿宋"/>
          <w:b/>
          <w:bCs/>
          <w:i/>
          <w:sz w:val="24"/>
          <w:highlight w:val="none"/>
          <w:u w:val="single"/>
        </w:rPr>
        <w:t xml:space="preserve">（标的名称）</w:t>
      </w:r>
      <w:r>
        <w:rPr>
          <w:rFonts w:hint="eastAsia" w:ascii="仿宋" w:hAnsi="仿宋" w:eastAsia="仿宋" w:cs="仿宋"/>
          <w:sz w:val="24"/>
          <w:highlight w:val="none"/>
        </w:rPr>
        <w:t xml:space="preserve">，属于</w:t>
      </w:r>
      <w:r>
        <w:rPr>
          <w:rFonts w:hint="eastAsia" w:ascii="仿宋" w:hAnsi="仿宋" w:eastAsia="仿宋" w:cs="仿宋"/>
          <w:b/>
          <w:bCs/>
          <w:i/>
          <w:sz w:val="24"/>
          <w:highlight w:val="none"/>
        </w:rPr>
        <w:t xml:space="preserve">（</w:t>
      </w:r>
      <w:r>
        <w:rPr>
          <w:rFonts w:hint="eastAsia" w:ascii="仿宋" w:hAnsi="仿宋" w:eastAsia="仿宋" w:cs="仿宋"/>
          <w:b/>
          <w:bCs/>
          <w:i/>
          <w:sz w:val="24"/>
          <w:highlight w:val="none"/>
          <w:u w:val="single"/>
        </w:rPr>
        <w:t xml:space="preserve">采购文件中明确的所属行业）</w:t>
      </w:r>
      <w:r>
        <w:rPr>
          <w:rFonts w:hint="eastAsia" w:ascii="仿宋" w:hAnsi="仿宋" w:eastAsia="仿宋" w:cs="仿宋"/>
          <w:i/>
          <w:sz w:val="24"/>
          <w:highlight w:val="none"/>
          <w:u w:val="single"/>
        </w:rPr>
        <w:t xml:space="preserve">行业</w:t>
      </w:r>
      <w:r>
        <w:rPr>
          <w:rFonts w:hint="eastAsia" w:ascii="仿宋" w:hAnsi="仿宋" w:eastAsia="仿宋" w:cs="仿宋"/>
          <w:sz w:val="24"/>
          <w:highlight w:val="none"/>
        </w:rPr>
        <w:t xml:space="preserve">；制造商为</w:t>
      </w:r>
      <w:r>
        <w:rPr>
          <w:rFonts w:hint="eastAsia" w:ascii="仿宋" w:hAnsi="仿宋" w:eastAsia="仿宋" w:cs="仿宋"/>
          <w:i/>
          <w:sz w:val="24"/>
          <w:highlight w:val="none"/>
          <w:u w:val="single"/>
        </w:rPr>
        <w:t xml:space="preserve">（企业名称）</w:t>
      </w:r>
      <w:r>
        <w:rPr>
          <w:rFonts w:hint="eastAsia" w:ascii="仿宋" w:hAnsi="仿宋" w:eastAsia="仿宋" w:cs="仿宋"/>
          <w:sz w:val="24"/>
          <w:highlight w:val="none"/>
        </w:rPr>
        <w:t xml:space="preserve">，从业人员</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人，营业收入为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万元，资产总额为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w:t>
      </w:r>
      <w:r>
        <w:rPr>
          <w:highlight w:val="none"/>
        </w:rPr>
        <w:fldChar w:fldCharType="begin"/>
      </w:r>
      <w:r>
        <w:rPr>
          <w:highlight w:val="none"/>
        </w:rPr>
        <w:instrText xml:space="preserve"> HYPERLINK \l "_bookmark0" </w:instrText>
      </w:r>
      <w:r>
        <w:rPr>
          <w:highlight w:val="none"/>
        </w:rPr>
        <w:fldChar w:fldCharType="separate"/>
      </w:r>
      <w:r>
        <w:rPr>
          <w:rFonts w:hint="eastAsia" w:ascii="仿宋" w:hAnsi="仿宋" w:eastAsia="仿宋" w:cs="仿宋"/>
          <w:position w:val="16"/>
          <w:sz w:val="24"/>
          <w:highlight w:val="none"/>
        </w:rPr>
        <w:t xml:space="preserve">1</w:t>
      </w:r>
      <w:r>
        <w:rPr>
          <w:rFonts w:hint="eastAsia" w:ascii="仿宋" w:hAnsi="仿宋" w:eastAsia="仿宋" w:cs="仿宋"/>
          <w:position w:val="16"/>
          <w:sz w:val="24"/>
          <w:highlight w:val="none"/>
        </w:rPr>
        <w:fldChar w:fldCharType="end"/>
      </w:r>
      <w:r>
        <w:rPr>
          <w:rFonts w:hint="eastAsia" w:ascii="仿宋" w:hAnsi="仿宋" w:eastAsia="仿宋" w:cs="仿宋"/>
          <w:sz w:val="24"/>
          <w:highlight w:val="none"/>
        </w:rPr>
        <w:t xml:space="preserve">，属于</w:t>
      </w:r>
      <w:r>
        <w:rPr>
          <w:rFonts w:hint="eastAsia" w:ascii="仿宋" w:hAnsi="仿宋" w:eastAsia="仿宋" w:cs="仿宋"/>
          <w:i/>
          <w:sz w:val="24"/>
          <w:highlight w:val="none"/>
          <w:u w:val="single"/>
        </w:rPr>
        <w:t xml:space="preserve">（中型企业、小型企业、微型企业）</w:t>
      </w:r>
      <w:r>
        <w:rPr>
          <w:rFonts w:hint="eastAsia" w:ascii="仿宋" w:hAnsi="仿宋" w:eastAsia="仿宋" w:cs="仿宋"/>
          <w:sz w:val="24"/>
          <w:highlight w:val="none"/>
        </w:rPr>
        <w:t xml:space="preserve">；</w:t>
      </w:r>
      <w:r/>
    </w:p>
    <w:p>
      <w:pPr>
        <w:numPr>
          <w:ilvl w:val="0"/>
          <w:numId w:val="9"/>
        </w:numPr>
        <w:ind w:right="169" w:firstLine="646"/>
        <w:jc w:val="left"/>
        <w:spacing w:line="360" w:lineRule="auto"/>
        <w:tabs>
          <w:tab w:val="left" w:pos="1165" w:leader="none"/>
          <w:tab w:val="left" w:pos="1183" w:leader="none"/>
          <w:tab w:val="left" w:pos="4362" w:leader="none"/>
          <w:tab w:val="left" w:pos="6577" w:leader="none"/>
        </w:tabs>
        <w:rPr>
          <w:rFonts w:hint="eastAsia" w:ascii="仿宋" w:hAnsi="仿宋" w:eastAsia="仿宋" w:cs="仿宋"/>
          <w:sz w:val="24"/>
          <w:highlight w:val="none"/>
        </w:rPr>
      </w:pPr>
      <w:r>
        <w:rPr>
          <w:rFonts w:hint="eastAsia" w:ascii="仿宋" w:hAnsi="仿宋" w:eastAsia="仿宋" w:cs="仿宋"/>
          <w:i/>
          <w:sz w:val="24"/>
          <w:highlight w:val="none"/>
          <w:u w:val="single"/>
        </w:rPr>
        <w:t xml:space="preserve">（标的名称）</w:t>
      </w:r>
      <w:r>
        <w:rPr>
          <w:rFonts w:hint="eastAsia" w:ascii="仿宋" w:hAnsi="仿宋" w:eastAsia="仿宋" w:cs="仿宋"/>
          <w:sz w:val="24"/>
          <w:highlight w:val="none"/>
        </w:rPr>
        <w:t xml:space="preserve">，属于</w:t>
      </w:r>
      <w:r>
        <w:rPr>
          <w:rFonts w:hint="eastAsia" w:ascii="仿宋" w:hAnsi="仿宋" w:eastAsia="仿宋" w:cs="仿宋"/>
          <w:i/>
          <w:sz w:val="24"/>
          <w:highlight w:val="none"/>
        </w:rPr>
        <w:t xml:space="preserve">（</w:t>
      </w:r>
      <w:r>
        <w:rPr>
          <w:rFonts w:hint="eastAsia" w:ascii="仿宋" w:hAnsi="仿宋" w:eastAsia="仿宋" w:cs="仿宋"/>
          <w:i/>
          <w:sz w:val="24"/>
          <w:highlight w:val="none"/>
          <w:u w:val="single"/>
        </w:rPr>
        <w:t xml:space="preserve">采购文件中明确的所属行业）行业</w:t>
      </w:r>
      <w:r>
        <w:rPr>
          <w:rFonts w:hint="eastAsia" w:ascii="仿宋" w:hAnsi="仿宋" w:eastAsia="仿宋" w:cs="仿宋"/>
          <w:sz w:val="24"/>
          <w:highlight w:val="none"/>
        </w:rPr>
        <w:t xml:space="preserve">；制造商为</w:t>
      </w:r>
      <w:r>
        <w:rPr>
          <w:rFonts w:hint="eastAsia" w:ascii="仿宋" w:hAnsi="仿宋" w:eastAsia="仿宋" w:cs="仿宋"/>
          <w:i/>
          <w:sz w:val="24"/>
          <w:highlight w:val="none"/>
          <w:u w:val="single"/>
        </w:rPr>
        <w:t xml:space="preserve">（企业名称）</w:t>
      </w:r>
      <w:r>
        <w:rPr>
          <w:rFonts w:hint="eastAsia" w:ascii="仿宋" w:hAnsi="仿宋" w:eastAsia="仿宋" w:cs="仿宋"/>
          <w:sz w:val="24"/>
          <w:highlight w:val="none"/>
        </w:rPr>
        <w:t xml:space="preserve">，从业人员</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人，营业收入为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万元，资产总额为</w:t>
      </w:r>
      <w:r>
        <w:rPr>
          <w:rFonts w:hint="eastAsia" w:ascii="仿宋" w:hAnsi="仿宋" w:eastAsia="仿宋" w:cs="仿宋"/>
          <w:sz w:val="24"/>
          <w:highlight w:val="none"/>
          <w:u w:val="single"/>
        </w:rPr>
        <w:tab/>
      </w:r>
      <w:r>
        <w:rPr>
          <w:rFonts w:hint="eastAsia" w:ascii="仿宋" w:hAnsi="仿宋" w:eastAsia="仿宋" w:cs="仿宋"/>
          <w:sz w:val="24"/>
          <w:highlight w:val="none"/>
        </w:rPr>
        <w:t xml:space="preserve">万元，属于</w:t>
      </w:r>
      <w:r>
        <w:rPr>
          <w:rFonts w:hint="eastAsia" w:ascii="仿宋" w:hAnsi="仿宋" w:eastAsia="仿宋" w:cs="仿宋"/>
          <w:i/>
          <w:sz w:val="24"/>
          <w:highlight w:val="none"/>
          <w:u w:val="single"/>
        </w:rPr>
        <w:t xml:space="preserve">（中型企业、小型企业、微型企业）</w:t>
      </w:r>
      <w:r>
        <w:rPr>
          <w:rFonts w:hint="eastAsia" w:ascii="仿宋" w:hAnsi="仿宋" w:eastAsia="仿宋" w:cs="仿宋"/>
          <w:sz w:val="24"/>
          <w:highlight w:val="none"/>
        </w:rPr>
        <w:t xml:space="preserve">；</w:t>
      </w:r>
      <w:r/>
    </w:p>
    <w:p>
      <w:pPr>
        <w:ind w:left="86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left="220" w:right="417" w:firstLine="64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以上企业，不属于大企业的分支机构，不存在控股股东为大企业的情形，也不存在与大企业的负责人为同一人的情形。</w:t>
      </w:r>
      <w:r/>
    </w:p>
    <w:p>
      <w:pPr>
        <w:ind w:left="220" w:right="372" w:firstLine="645"/>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本企业对上述声明内容的真实性负责。如有虚假，将依法承担相应责任。</w:t>
      </w:r>
      <w:r/>
    </w:p>
    <w:p>
      <w:pPr>
        <w:ind w:firstLine="504"/>
        <w:spacing w:line="360" w:lineRule="auto"/>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firstLine="504"/>
        <w:spacing w:line="360" w:lineRule="auto"/>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企业名称（加盖公章）：________</w:t>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 期：________</w:t>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right="360"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Style w:val="119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hint="eastAsia" w:ascii="仿宋" w:hAnsi="仿宋" w:eastAsia="仿宋" w:cs="仿宋"/>
                <w:szCs w:val="21"/>
                <w:highlight w:val="none"/>
              </w:rPr>
            </w:pPr>
            <w:r>
              <w:rPr>
                <w:rFonts w:hint="eastAsia" w:ascii="仿宋" w:hAnsi="仿宋" w:eastAsia="仿宋" w:cs="仿宋"/>
                <w:szCs w:val="21"/>
                <w:highlight w:val="none"/>
                <w:vertAlign w:val="superscript"/>
              </w:rPr>
              <w:t xml:space="preserve">1</w:t>
            </w:r>
            <w:r>
              <w:rPr>
                <w:rFonts w:hint="eastAsia" w:ascii="仿宋" w:hAnsi="仿宋" w:eastAsia="仿宋" w:cs="仿宋"/>
                <w:szCs w:val="21"/>
                <w:highlight w:val="none"/>
              </w:rPr>
              <w:t xml:space="preserve">从业人员、营业收入、资产总额填报上一年度数据，无上一年度数据的新成立企业可不填报。</w:t>
            </w:r>
            <w:r/>
          </w:p>
        </w:tc>
      </w:tr>
    </w:tbl>
    <w:p>
      <w:pPr>
        <w:ind w:firstLine="420"/>
        <w:jc w:val="left"/>
        <w:rPr>
          <w:rFonts w:hint="eastAsia" w:ascii="仿宋" w:hAnsi="仿宋" w:eastAsia="仿宋" w:cs="仿宋"/>
          <w:sz w:val="24"/>
          <w:highlight w:val="none"/>
        </w:rPr>
      </w:pPr>
      <w:r>
        <w:rPr>
          <w:rFonts w:hint="eastAsia" w:ascii="仿宋" w:hAnsi="仿宋" w:eastAsia="仿宋" w:cs="仿宋"/>
          <w:sz w:val="24"/>
          <w:highlight w:val="none"/>
        </w:rPr>
      </w:r>
      <w:r/>
    </w:p>
    <w:p>
      <w:pPr>
        <w:ind w:firstLine="482"/>
        <w:jc w:val="left"/>
        <w:spacing w:line="360" w:lineRule="auto"/>
        <w:rPr>
          <w:rFonts w:hint="eastAsia" w:ascii="仿宋" w:hAnsi="仿宋" w:eastAsia="仿宋" w:cs="仿宋"/>
          <w:b/>
          <w:bCs/>
          <w:sz w:val="24"/>
          <w:highlight w:val="none"/>
        </w:rPr>
        <w:outlineLvl w:val="1"/>
      </w:pPr>
      <w:r>
        <w:rPr>
          <w:rFonts w:hint="eastAsia" w:ascii="仿宋" w:hAnsi="仿宋" w:eastAsia="仿宋" w:cs="仿宋"/>
          <w:b/>
          <w:bCs/>
          <w:sz w:val="24"/>
          <w:highlight w:val="none"/>
        </w:rPr>
        <w:t xml:space="preserve">特别提醒：</w:t>
      </w:r>
      <w:r/>
    </w:p>
    <w:p>
      <w:pPr>
        <w:pStyle w:val="1185"/>
        <w:ind w:firstLine="482"/>
        <w:jc w:val="left"/>
        <w:spacing w:before="0" w:after="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如本项目采购清单内所有设备（产品）均为中小企业生产或制造的，请逐一列出项目清单中所有货物的制造商、从业人员、营业收入、企业类型等信息。</w:t>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bCs/>
          <w:sz w:val="36"/>
          <w:szCs w:val="36"/>
          <w:highlight w:val="none"/>
        </w:rPr>
        <w:br w:type="page" w:clear="all"/>
      </w:r>
      <w:r>
        <w:rPr>
          <w:rFonts w:hint="eastAsia" w:ascii="仿宋" w:hAnsi="仿宋" w:eastAsia="仿宋" w:cs="仿宋"/>
          <w:b/>
          <w:bCs/>
          <w:sz w:val="36"/>
          <w:szCs w:val="36"/>
          <w:highlight w:val="none"/>
        </w:rPr>
        <w:t xml:space="preserve">残疾人福利性单位声明函格式</w:t>
      </w:r>
      <w:r/>
    </w:p>
    <w:p>
      <w:pPr>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sz w:val="24"/>
          <w:highlight w:val="none"/>
        </w:rPr>
        <w:t xml:space="preserve">〔2017〕 141</w:t>
      </w:r>
      <w:r>
        <w:rPr>
          <w:rFonts w:hint="eastAsia" w:ascii="仿宋" w:hAnsi="仿宋" w:eastAsia="仿宋" w:cs="仿宋"/>
          <w:spacing w:val="6"/>
          <w:sz w:val="24"/>
          <w:highlight w:val="none"/>
        </w:rPr>
        <w:t xml:space="preserve">号）的规定，本单位</w:t>
      </w:r>
      <w:r>
        <w:rPr>
          <w:rFonts w:hint="eastAsia" w:ascii="仿宋" w:hAnsi="仿宋" w:eastAsia="仿宋" w:cs="仿宋"/>
          <w:b/>
          <w:sz w:val="24"/>
          <w:highlight w:val="none"/>
        </w:rPr>
        <w:t xml:space="preserve">（请进行勾选）</w:t>
      </w:r>
      <w:r>
        <w:rPr>
          <w:rFonts w:hint="eastAsia" w:ascii="仿宋" w:hAnsi="仿宋" w:eastAsia="仿宋" w:cs="仿宋"/>
          <w:spacing w:val="6"/>
          <w:sz w:val="24"/>
          <w:highlight w:val="none"/>
        </w:rPr>
        <w:t xml:space="preserve">：</w:t>
      </w:r>
      <w:r/>
    </w:p>
    <w:p>
      <w:pPr>
        <w:ind w:firstLine="482"/>
        <w:spacing w:line="588" w:lineRule="exact"/>
        <w:rPr>
          <w:rFonts w:hint="eastAsia" w:ascii="仿宋" w:hAnsi="仿宋" w:eastAsia="仿宋" w:cs="仿宋"/>
          <w:b/>
          <w:spacing w:val="6"/>
          <w:sz w:val="24"/>
          <w:highlight w:val="none"/>
        </w:rPr>
      </w:pPr>
      <w:r>
        <w:rPr>
          <w:rFonts w:hint="eastAsia" w:ascii="仿宋" w:hAnsi="仿宋" w:eastAsia="仿宋" w:cs="仿宋"/>
          <w:b/>
          <w:sz w:val="24"/>
          <w:highlight w:val="none"/>
        </w:rPr>
        <w:t xml:space="preserve">□</w:t>
      </w:r>
      <w:r>
        <w:rPr>
          <w:rFonts w:hint="eastAsia" w:ascii="仿宋" w:hAnsi="仿宋" w:eastAsia="仿宋" w:cs="仿宋"/>
          <w:b/>
          <w:spacing w:val="6"/>
          <w:sz w:val="24"/>
          <w:highlight w:val="none"/>
        </w:rPr>
        <w:t xml:space="preserve">不属于符合条件的残疾人福利性单位。</w:t>
      </w:r>
      <w:r/>
    </w:p>
    <w:p>
      <w:pPr>
        <w:ind w:firstLine="482"/>
        <w:spacing w:line="588" w:lineRule="exact"/>
        <w:rPr>
          <w:rFonts w:hint="eastAsia" w:ascii="仿宋" w:hAnsi="仿宋" w:eastAsia="仿宋" w:cs="仿宋"/>
          <w:spacing w:val="6"/>
          <w:sz w:val="24"/>
          <w:highlight w:val="none"/>
        </w:rPr>
      </w:pPr>
      <w:r>
        <w:rPr>
          <w:rFonts w:hint="eastAsia" w:ascii="仿宋" w:hAnsi="仿宋" w:eastAsia="仿宋" w:cs="仿宋"/>
          <w:b/>
          <w:sz w:val="24"/>
          <w:highlight w:val="none"/>
        </w:rPr>
        <w:t xml:space="preserve">□</w:t>
      </w:r>
      <w:r>
        <w:rPr>
          <w:rFonts w:hint="eastAsia" w:ascii="仿宋" w:hAnsi="仿宋" w:eastAsia="仿宋" w:cs="仿宋"/>
          <w:b/>
          <w:spacing w:val="6"/>
          <w:sz w:val="24"/>
          <w:highlight w:val="none"/>
        </w:rPr>
        <w:t xml:space="preserve">属于符合条件的残疾人福利性单位，</w:t>
      </w:r>
      <w:r>
        <w:rPr>
          <w:rFonts w:hint="eastAsia" w:ascii="仿宋" w:hAnsi="仿宋" w:eastAsia="仿宋" w:cs="仿宋"/>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仿宋" w:hAnsi="仿宋" w:eastAsia="仿宋" w:cs="仿宋"/>
          <w:spacing w:val="6"/>
          <w:sz w:val="24"/>
          <w:highlight w:val="none"/>
        </w:rPr>
      </w:pPr>
      <w:r>
        <w:rPr>
          <w:rFonts w:hint="eastAsia" w:ascii="仿宋" w:hAnsi="仿宋" w:eastAsia="仿宋" w:cs="仿宋"/>
          <w:b/>
          <w:spacing w:val="6"/>
          <w:sz w:val="24"/>
          <w:highlight w:val="none"/>
        </w:rPr>
        <w:t xml:space="preserve">本单位对上述声明的真实性负责。如有虚假，将依法承担相应责任。</w:t>
      </w:r>
      <w:r/>
    </w:p>
    <w:p>
      <w:pPr>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firstLine="504"/>
        <w:spacing w:line="588" w:lineRule="exact"/>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单位名称（加盖公章）：</w:t>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日  期：</w:t>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ind w:right="1560" w:firstLine="504"/>
        <w:jc w:val="center"/>
        <w:spacing w:line="588" w:lineRule="exact"/>
        <w:tabs>
          <w:tab w:val="left" w:pos="4860" w:leader="none"/>
        </w:tabs>
        <w:rPr>
          <w:rFonts w:hint="eastAsia" w:ascii="仿宋" w:hAnsi="仿宋" w:eastAsia="仿宋" w:cs="仿宋"/>
          <w:spacing w:val="6"/>
          <w:sz w:val="24"/>
          <w:highlight w:val="none"/>
        </w:rPr>
      </w:pPr>
      <w:r>
        <w:rPr>
          <w:rFonts w:hint="eastAsia" w:ascii="仿宋" w:hAnsi="仿宋" w:eastAsia="仿宋" w:cs="仿宋"/>
          <w:spacing w:val="6"/>
          <w:sz w:val="24"/>
          <w:highlight w:val="none"/>
        </w:rPr>
      </w:r>
      <w:r/>
    </w:p>
    <w:p>
      <w:pPr>
        <w:jc w:val="left"/>
        <w:widowControl/>
        <w:rPr>
          <w:rFonts w:hint="eastAsia" w:ascii="仿宋" w:hAnsi="仿宋" w:eastAsia="仿宋" w:cs="仿宋"/>
          <w:sz w:val="24"/>
          <w:szCs w:val="20"/>
          <w:highlight w:val="none"/>
        </w:rPr>
      </w:pPr>
      <w:r>
        <w:rPr>
          <w:rFonts w:hint="eastAsia" w:ascii="仿宋" w:hAnsi="仿宋" w:eastAsia="仿宋" w:cs="仿宋"/>
          <w:sz w:val="24"/>
          <w:szCs w:val="20"/>
          <w:highlight w:val="none"/>
        </w:rPr>
        <w:br w:type="page" w:clear="all"/>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highlight w:val="none"/>
        </w:rPr>
        <w:t xml:space="preserve">2-3其它落实政府采购政策的资格要求</w:t>
      </w:r>
      <w:r>
        <w:rPr>
          <w:rFonts w:hint="eastAsia" w:ascii="仿宋" w:hAnsi="仿宋" w:eastAsia="仿宋" w:cs="仿宋"/>
          <w:sz w:val="24"/>
          <w:szCs w:val="20"/>
          <w:highlight w:val="none"/>
        </w:rPr>
        <w:t xml:space="preserve">（如有）</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sz w:val="24"/>
          <w:szCs w:val="20"/>
          <w:highlight w:val="none"/>
        </w:rPr>
      </w:pPr>
      <w:r>
        <w:rPr>
          <w:rFonts w:hint="eastAsia" w:ascii="仿宋" w:hAnsi="仿宋" w:eastAsia="仿宋" w:cs="仿宋"/>
          <w:sz w:val="24"/>
          <w:highlight w:val="none"/>
        </w:rPr>
        <w:br w:type="page" w:clear="all"/>
      </w:r>
      <w:r>
        <w:rPr>
          <w:rFonts w:hint="eastAsia" w:ascii="仿宋" w:hAnsi="仿宋" w:eastAsia="仿宋" w:cs="仿宋"/>
          <w:b/>
          <w:bCs/>
          <w:sz w:val="24"/>
          <w:szCs w:val="20"/>
          <w:highlight w:val="none"/>
        </w:rPr>
        <w:t xml:space="preserve">3 </w:t>
      </w:r>
      <w:r>
        <w:rPr>
          <w:rFonts w:hint="eastAsia" w:ascii="仿宋" w:hAnsi="仿宋" w:eastAsia="仿宋" w:cs="仿宋"/>
          <w:b/>
          <w:bCs/>
          <w:sz w:val="24"/>
          <w:highlight w:val="none"/>
        </w:rPr>
        <w:t xml:space="preserve">本项目的特定资格要求</w:t>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3-2其他特定资格要求</w:t>
      </w:r>
      <w:r/>
    </w:p>
    <w:p>
      <w:pPr>
        <w:ind w:left="690" w:hanging="211"/>
        <w:spacing w:line="360" w:lineRule="auto"/>
        <w:rPr>
          <w:rFonts w:hint="eastAsia" w:ascii="仿宋" w:hAnsi="仿宋" w:eastAsia="仿宋" w:cs="仿宋"/>
          <w:sz w:val="24"/>
          <w:szCs w:val="20"/>
          <w:highlight w:val="none"/>
        </w:rPr>
      </w:pPr>
      <w:r>
        <w:rPr>
          <w:rFonts w:hint="eastAsia" w:ascii="仿宋" w:hAnsi="仿宋" w:eastAsia="仿宋" w:cs="仿宋"/>
          <w:b/>
          <w:bCs/>
          <w:szCs w:val="21"/>
          <w:highlight w:val="none"/>
        </w:rPr>
        <w:t xml:space="preserve">详见采购公告要求</w:t>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719" w:hanging="240"/>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center"/>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二、商务技术文件格式</w:t>
      </w:r>
      <w:bookmarkStart w:id="798" w:name="_Toc520356217"/>
      <w:r/>
      <w:bookmarkStart w:id="799" w:name="_Toc150774761"/>
      <w:r/>
      <w:bookmarkStart w:id="800" w:name="_Toc142311058"/>
      <w:r/>
      <w:bookmarkStart w:id="801" w:name="_Toc226309800"/>
      <w:r/>
      <w:bookmarkStart w:id="802" w:name="_Toc226337252"/>
      <w:r/>
      <w:bookmarkStart w:id="803" w:name="_Ref467988698"/>
      <w:r/>
      <w:bookmarkStart w:id="804" w:name="_Toc226965746"/>
      <w:r/>
      <w:bookmarkStart w:id="805" w:name="_Toc226965829"/>
      <w:r/>
      <w:bookmarkStart w:id="806" w:name="_Toc127151556"/>
      <w:r/>
      <w:bookmarkStart w:id="807" w:name="_Toc195842921"/>
      <w:r/>
      <w:bookmarkStart w:id="808" w:name="_Toc480942349"/>
      <w:r/>
      <w:bookmarkStart w:id="809" w:name="_Toc150480794"/>
      <w:r/>
      <w:r/>
    </w:p>
    <w:p>
      <w:pPr>
        <w:jc w:val="center"/>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360" w:lineRule="auto"/>
        <w:rPr>
          <w:rFonts w:hint="eastAsia" w:ascii="仿宋" w:hAnsi="仿宋" w:eastAsia="仿宋" w:cs="仿宋"/>
          <w:b/>
          <w:bCs/>
          <w:sz w:val="24"/>
          <w:szCs w:val="20"/>
          <w:highlight w:val="none"/>
        </w:rPr>
        <w:outlineLvl w:val="2"/>
      </w:pPr>
      <w:r>
        <w:rPr>
          <w:rFonts w:hint="eastAsia" w:ascii="仿宋" w:hAnsi="仿宋" w:eastAsia="仿宋" w:cs="仿宋"/>
          <w:sz w:val="24"/>
          <w:highlight w:val="none"/>
        </w:rPr>
        <w:t xml:space="preserve">1</w:t>
      </w:r>
      <w:r>
        <w:rPr>
          <w:rFonts w:hint="eastAsia" w:ascii="仿宋" w:hAnsi="仿宋" w:eastAsia="仿宋" w:cs="仿宋"/>
          <w:b/>
          <w:bCs/>
          <w:sz w:val="24"/>
          <w:highlight w:val="none"/>
        </w:rPr>
        <w:t xml:space="preserve">投标</w:t>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仿宋" w:hAnsi="仿宋" w:eastAsia="仿宋" w:cs="仿宋"/>
          <w:b/>
          <w:bCs/>
          <w:sz w:val="24"/>
          <w:highlight w:val="none"/>
        </w:rPr>
        <w:t xml:space="preserve">函</w:t>
      </w:r>
      <w:r>
        <w:rPr>
          <w:rFonts w:hint="eastAsia" w:ascii="仿宋" w:hAnsi="仿宋" w:eastAsia="仿宋" w:cs="仿宋"/>
          <w:b/>
          <w:bCs/>
          <w:sz w:val="24"/>
          <w:szCs w:val="20"/>
          <w:highlight w:val="none"/>
        </w:rPr>
        <w:t xml:space="preserve">（实质性格式）</w:t>
      </w:r>
      <w:r/>
    </w:p>
    <w:p>
      <w:pPr>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投标函</w:t>
      </w:r>
      <w:r/>
    </w:p>
    <w:p>
      <w:pPr>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致：</w:t>
      </w:r>
      <w:r>
        <w:rPr>
          <w:rFonts w:hint="eastAsia" w:ascii="仿宋" w:hAnsi="仿宋" w:eastAsia="仿宋" w:cs="仿宋"/>
          <w:szCs w:val="21"/>
          <w:highlight w:val="none"/>
          <w:u w:val="single"/>
        </w:rPr>
        <w:t xml:space="preserve">常州国家高新技术产业开发区(新北区)卫生健康局、江苏城建校工程咨询有限公司</w:t>
      </w:r>
      <w:r/>
    </w:p>
    <w:p>
      <w:pPr>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firstLine="408"/>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我方参加你方</w:t>
      </w:r>
      <w:r>
        <w:rPr>
          <w:rFonts w:hint="eastAsia" w:ascii="仿宋" w:hAnsi="仿宋" w:eastAsia="仿宋" w:cs="仿宋"/>
          <w:sz w:val="24"/>
          <w:highlight w:val="none"/>
        </w:rPr>
        <w:t xml:space="preserve">就</w:t>
      </w:r>
      <w:r>
        <w:rPr>
          <w:rFonts w:hint="eastAsia" w:ascii="仿宋" w:hAnsi="仿宋" w:eastAsia="仿宋" w:cs="仿宋"/>
          <w:b/>
          <w:bCs/>
          <w:sz w:val="24"/>
          <w:highlight w:val="none"/>
          <w:u w:val="single"/>
        </w:rPr>
        <w:t xml:space="preserve">新北区人民医院项目一期气动物流设备采购</w:t>
      </w:r>
      <w:r>
        <w:rPr>
          <w:rFonts w:hint="eastAsia" w:ascii="仿宋" w:hAnsi="仿宋" w:eastAsia="仿宋" w:cs="仿宋"/>
          <w:b/>
          <w:bCs/>
          <w:sz w:val="24"/>
          <w:highlight w:val="none"/>
          <w:u w:val="single"/>
          <w:lang w:eastAsia="zh-CN"/>
        </w:rPr>
        <w:t xml:space="preserve">JSZC-320411-SCJX-G2026-0005</w:t>
      </w:r>
      <w:r>
        <w:rPr>
          <w:rFonts w:hint="eastAsia" w:ascii="仿宋" w:hAnsi="仿宋" w:eastAsia="仿宋" w:cs="仿宋"/>
          <w:sz w:val="24"/>
          <w:szCs w:val="20"/>
          <w:highlight w:val="none"/>
        </w:rPr>
        <w:t xml:space="preserve">组织的招标活动，并对此项目进行投标。</w:t>
      </w:r>
      <w:r/>
    </w:p>
    <w:p>
      <w:pPr>
        <w:ind w:firstLine="408"/>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 我方</w:t>
      </w:r>
      <w:r>
        <w:rPr>
          <w:rFonts w:hint="eastAsia" w:ascii="仿宋" w:hAnsi="仿宋" w:eastAsia="仿宋" w:cs="仿宋"/>
          <w:sz w:val="24"/>
          <w:highlight w:val="none"/>
        </w:rPr>
        <w:t xml:space="preserve">已详细审查全部招标文件</w:t>
      </w:r>
      <w:r>
        <w:rPr>
          <w:rFonts w:hint="eastAsia" w:ascii="仿宋" w:hAnsi="仿宋" w:eastAsia="仿宋" w:cs="仿宋"/>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（1）本投标有效期为自提交投标文件的截止之日起</w:t>
      </w:r>
      <w:r>
        <w:rPr>
          <w:rFonts w:hint="eastAsia" w:ascii="仿宋" w:hAnsi="仿宋" w:eastAsia="仿宋" w:cs="仿宋"/>
          <w:sz w:val="24"/>
          <w:highlight w:val="none"/>
        </w:rPr>
        <w:t xml:space="preserve">90</w:t>
      </w:r>
      <w:r>
        <w:rPr>
          <w:rFonts w:hint="eastAsia" w:ascii="仿宋" w:hAnsi="仿宋" w:eastAsia="仿宋" w:cs="仿宋"/>
          <w:sz w:val="24"/>
          <w:szCs w:val="20"/>
          <w:highlight w:val="none"/>
        </w:rPr>
        <w:t xml:space="preserve">个日历天。</w:t>
      </w:r>
      <w:r/>
    </w:p>
    <w:p>
      <w:pPr>
        <w:ind w:left="360" w:firstLine="72"/>
        <w:spacing w:line="360" w:lineRule="auto"/>
        <w:tabs>
          <w:tab w:val="left" w:pos="720" w:leader="none"/>
          <w:tab w:val="left" w:pos="90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仿宋" w:hAnsi="仿宋" w:eastAsia="仿宋" w:cs="仿宋"/>
          <w:sz w:val="24"/>
          <w:highlight w:val="none"/>
        </w:rPr>
      </w:pPr>
      <w:r>
        <w:rPr>
          <w:rFonts w:hint="eastAsia" w:ascii="仿宋" w:hAnsi="仿宋" w:eastAsia="仿宋" w:cs="仿宋"/>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 其他补充条款（如有）：</w:t>
      </w:r>
      <w:r>
        <w:rPr>
          <w:rFonts w:hint="eastAsia" w:ascii="仿宋" w:hAnsi="仿宋" w:eastAsia="仿宋" w:cs="仿宋"/>
          <w:sz w:val="24"/>
          <w:szCs w:val="20"/>
          <w:highlight w:val="none"/>
        </w:rPr>
        <w:t xml:space="preserve">___________</w:t>
      </w: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与本投标有关的一切正式往来信函请寄：</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电话_________________________     电子邮箱________________________</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ind w:left="420"/>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  </w:t>
      </w:r>
      <w:r/>
    </w:p>
    <w:p>
      <w:pPr>
        <w:ind w:left="420"/>
        <w:spacing w:line="360" w:lineRule="auto"/>
        <w:tabs>
          <w:tab w:val="left" w:pos="5580" w:leader="none"/>
        </w:tabs>
        <w:rPr>
          <w:rFonts w:hint="eastAsia" w:ascii="仿宋" w:hAnsi="仿宋" w:eastAsia="仿宋" w:cs="仿宋"/>
          <w:sz w:val="24"/>
          <w:szCs w:val="20"/>
          <w:highlight w:val="none"/>
          <w:u w:val="single"/>
        </w:rPr>
      </w:pPr>
      <w:r>
        <w:rPr>
          <w:rFonts w:hint="eastAsia" w:ascii="仿宋" w:hAnsi="仿宋" w:eastAsia="仿宋" w:cs="仿宋"/>
          <w:sz w:val="24"/>
          <w:szCs w:val="20"/>
          <w:highlight w:val="none"/>
          <w:u w:val="single"/>
        </w:rPr>
      </w:r>
      <w:r/>
    </w:p>
    <w:p>
      <w:pPr>
        <w:jc w:val="left"/>
        <w:widowControl/>
        <w:rPr>
          <w:rFonts w:hint="eastAsia" w:ascii="仿宋" w:hAnsi="仿宋" w:eastAsia="仿宋" w:cs="仿宋"/>
          <w:sz w:val="24"/>
          <w:highlight w:val="none"/>
        </w:rPr>
      </w:pPr>
      <w:r/>
      <w:bookmarkStart w:id="810" w:name="_Hlt520355938"/>
      <w:r/>
      <w:bookmarkEnd w:id="810"/>
      <w:r/>
      <w:bookmarkStart w:id="811" w:name="_Hlt520356243"/>
      <w:r/>
      <w:bookmarkEnd w:id="811"/>
      <w:r>
        <w:rPr>
          <w:rFonts w:hint="eastAsia" w:ascii="仿宋" w:hAnsi="仿宋" w:eastAsia="仿宋" w:cs="仿宋"/>
          <w:sz w:val="24"/>
          <w:highlight w:val="none"/>
        </w:rPr>
        <w:br w:type="page" w:clear="all"/>
      </w:r>
      <w:r/>
    </w:p>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  法定代表人资格证明书</w:t>
      </w:r>
      <w:r>
        <w:rPr>
          <w:rFonts w:hint="eastAsia" w:ascii="仿宋" w:hAnsi="仿宋" w:eastAsia="仿宋" w:cs="仿宋"/>
          <w:b/>
          <w:bCs/>
          <w:sz w:val="24"/>
          <w:szCs w:val="20"/>
          <w:highlight w:val="none"/>
        </w:rPr>
        <w:t xml:space="preserve">（实质性格式）</w:t>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法定代表人资格证明书</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地址:</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系</w:t>
      </w:r>
      <w:r>
        <w:rPr>
          <w:rFonts w:hint="eastAsia" w:ascii="仿宋" w:hAnsi="仿宋" w:eastAsia="仿宋" w:cs="仿宋"/>
          <w:sz w:val="24"/>
          <w:highlight w:val="none"/>
          <w:u w:val="single"/>
        </w:rPr>
        <w:t xml:space="preserve">（投标单位名称）</w:t>
      </w:r>
      <w:r>
        <w:rPr>
          <w:rFonts w:hint="eastAsia" w:ascii="仿宋" w:hAnsi="仿宋" w:eastAsia="仿宋" w:cs="仿宋"/>
          <w:sz w:val="24"/>
          <w:highlight w:val="none"/>
        </w:rPr>
        <w:t xml:space="preserve">的法定代表人。为参与</w:t>
      </w:r>
      <w:r>
        <w:rPr>
          <w:rFonts w:hint="eastAsia" w:ascii="仿宋" w:hAnsi="仿宋" w:eastAsia="仿宋" w:cs="仿宋"/>
          <w:b/>
          <w:bCs/>
          <w:sz w:val="24"/>
          <w:highlight w:val="none"/>
          <w:u w:val="single"/>
        </w:rPr>
        <w:t xml:space="preserve">新北区人民医院项目一期气动物流设备采购 </w:t>
      </w:r>
      <w:r>
        <w:rPr>
          <w:rFonts w:hint="eastAsia" w:ascii="仿宋" w:hAnsi="仿宋" w:eastAsia="仿宋" w:cs="仿宋"/>
          <w:b/>
          <w:bCs/>
          <w:sz w:val="24"/>
          <w:highlight w:val="none"/>
          <w:u w:val="single"/>
          <w:lang w:eastAsia="zh-CN"/>
        </w:rPr>
        <w:t xml:space="preserve">JSZC-320411-SCJX-G2026-0005</w:t>
      </w:r>
      <w:r>
        <w:rPr>
          <w:rFonts w:hint="eastAsia" w:ascii="仿宋" w:hAnsi="仿宋" w:eastAsia="仿宋" w:cs="仿宋"/>
          <w:sz w:val="24"/>
          <w:highlight w:val="none"/>
        </w:rPr>
        <w:t xml:space="preserve">的政府采购活动，</w:t>
      </w:r>
      <w:r>
        <w:rPr>
          <w:rFonts w:hint="eastAsia" w:ascii="仿宋" w:hAnsi="仿宋" w:eastAsia="仿宋" w:cs="仿宋"/>
          <w:sz w:val="24"/>
          <w:szCs w:val="20"/>
          <w:highlight w:val="none"/>
        </w:rPr>
        <w:t xml:space="preserve">签署、澄清确认、递交、撤回、修改</w:t>
      </w:r>
      <w:r>
        <w:rPr>
          <w:rFonts w:hint="eastAsia" w:ascii="仿宋" w:hAnsi="仿宋" w:eastAsia="仿宋" w:cs="仿宋"/>
          <w:sz w:val="24"/>
          <w:highlight w:val="none"/>
        </w:rPr>
        <w:t xml:space="preserve">上述项目的投标文件、进行合同谈判、签署合同和处理与之有关的一切事务。</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1202"/>
        <w:ind w:right="-46"/>
        <w:spacing w:line="583" w:lineRule="auto"/>
        <w:rPr>
          <w:rFonts w:hint="eastAsia" w:ascii="仿宋" w:hAnsi="仿宋" w:eastAsia="仿宋" w:cs="仿宋"/>
          <w:spacing w:val="-3"/>
          <w:highlight w:val="none"/>
        </w:rPr>
      </w:pPr>
      <w:r>
        <w:rPr>
          <w:rFonts w:hint="eastAsia" w:ascii="仿宋" w:hAnsi="仿宋" w:eastAsia="仿宋" w:cs="仿宋"/>
          <w:highlight w:val="none"/>
        </w:rPr>
        <w:t xml:space="preserve">附：</w:t>
      </w:r>
      <w:r>
        <w:rPr>
          <w:rFonts w:hint="eastAsia" w:ascii="仿宋" w:hAnsi="仿宋" w:eastAsia="仿宋" w:cs="仿宋"/>
          <w:spacing w:val="-3"/>
          <w:highlight w:val="none"/>
        </w:rPr>
        <w:t xml:space="preserve">法</w:t>
      </w:r>
      <w:r>
        <w:rPr>
          <w:rFonts w:hint="eastAsia" w:ascii="仿宋" w:hAnsi="仿宋" w:eastAsia="仿宋" w:cs="仿宋"/>
          <w:highlight w:val="none"/>
        </w:rPr>
        <w:t xml:space="preserve">定</w:t>
      </w:r>
      <w:r>
        <w:rPr>
          <w:rFonts w:hint="eastAsia" w:ascii="仿宋" w:hAnsi="仿宋" w:eastAsia="仿宋" w:cs="仿宋"/>
          <w:spacing w:val="-3"/>
          <w:highlight w:val="none"/>
        </w:rPr>
        <w:t xml:space="preserve">代</w:t>
      </w:r>
      <w:r>
        <w:rPr>
          <w:rFonts w:hint="eastAsia" w:ascii="仿宋" w:hAnsi="仿宋" w:eastAsia="仿宋" w:cs="仿宋"/>
          <w:highlight w:val="none"/>
        </w:rPr>
        <w:t xml:space="preserve">表</w:t>
      </w:r>
      <w:r>
        <w:rPr>
          <w:rFonts w:hint="eastAsia" w:ascii="仿宋" w:hAnsi="仿宋" w:eastAsia="仿宋" w:cs="仿宋"/>
          <w:spacing w:val="-3"/>
          <w:highlight w:val="none"/>
        </w:rPr>
        <w:t xml:space="preserve">人</w:t>
      </w:r>
      <w:r>
        <w:rPr>
          <w:rFonts w:hint="eastAsia" w:ascii="仿宋" w:hAnsi="仿宋" w:eastAsia="仿宋" w:cs="仿宋"/>
          <w:highlight w:val="none"/>
        </w:rPr>
        <w:t xml:space="preserve">（</w:t>
      </w:r>
      <w:r>
        <w:rPr>
          <w:rFonts w:hint="eastAsia" w:ascii="仿宋" w:hAnsi="仿宋" w:eastAsia="仿宋" w:cs="仿宋"/>
          <w:spacing w:val="-3"/>
          <w:highlight w:val="none"/>
        </w:rPr>
        <w:t xml:space="preserve">单</w:t>
      </w:r>
      <w:r>
        <w:rPr>
          <w:rFonts w:hint="eastAsia" w:ascii="仿宋" w:hAnsi="仿宋" w:eastAsia="仿宋" w:cs="仿宋"/>
          <w:highlight w:val="none"/>
        </w:rPr>
        <w:t xml:space="preserve">位</w:t>
      </w:r>
      <w:r>
        <w:rPr>
          <w:rFonts w:hint="eastAsia" w:ascii="仿宋" w:hAnsi="仿宋" w:eastAsia="仿宋" w:cs="仿宋"/>
          <w:spacing w:val="-3"/>
          <w:highlight w:val="none"/>
        </w:rPr>
        <w:t xml:space="preserve">负</w:t>
      </w:r>
      <w:r>
        <w:rPr>
          <w:rFonts w:hint="eastAsia" w:ascii="仿宋" w:hAnsi="仿宋" w:eastAsia="仿宋" w:cs="仿宋"/>
          <w:highlight w:val="none"/>
        </w:rPr>
        <w:t xml:space="preserve">责人</w:t>
      </w:r>
      <w:r>
        <w:rPr>
          <w:rFonts w:hint="eastAsia" w:ascii="仿宋" w:hAnsi="仿宋" w:eastAsia="仿宋" w:cs="仿宋"/>
          <w:spacing w:val="-3"/>
          <w:highlight w:val="none"/>
        </w:rPr>
        <w:t xml:space="preserve">）有效期内的身份证正反面扫描件加盖公章。</w:t>
      </w:r>
      <w:r/>
    </w:p>
    <w:tbl>
      <w:tblPr>
        <w:tblStyle w:val="119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tc>
        <w:tc>
          <w:tcPr>
            <w:tcW w:w="4536" w:type="dxa"/>
            <w:textDirection w:val="lrTb"/>
            <w:noWrap w:val="false"/>
          </w:tcPr>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r>
            <w:r/>
          </w:p>
        </w:tc>
      </w:tr>
    </w:tbl>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bookmarkStart w:id="812" w:name="_Hlk107701949"/>
      <w:r>
        <w:rPr>
          <w:rFonts w:hint="eastAsia" w:ascii="仿宋" w:hAnsi="仿宋" w:eastAsia="仿宋" w:cs="仿宋"/>
          <w:sz w:val="24"/>
          <w:highlight w:val="none"/>
        </w:rPr>
        <w:t xml:space="preserve">    供应商：（加盖公章）</w:t>
      </w:r>
      <w:r/>
    </w:p>
    <w:p>
      <w:pPr>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                       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ind w:firstLine="4320"/>
        <w:spacing w:line="560" w:lineRule="exact"/>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bookmarkEnd w:id="812"/>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说明：</w:t>
      </w:r>
      <w:r/>
    </w:p>
    <w:p>
      <w:pPr>
        <w:jc w:val="left"/>
        <w:spacing w:line="360" w:lineRule="auto"/>
        <w:tabs>
          <w:tab w:val="left" w:pos="5580" w:leader="none"/>
        </w:tabs>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仿宋" w:hAnsi="仿宋" w:eastAsia="仿宋" w:cs="仿宋"/>
          <w:i/>
          <w:sz w:val="24"/>
          <w:szCs w:val="20"/>
          <w:highlight w:val="none"/>
          <w:u w:val="single"/>
        </w:rPr>
      </w:pPr>
      <w:r>
        <w:rPr>
          <w:rFonts w:hint="eastAsia" w:ascii="仿宋" w:hAnsi="仿宋" w:eastAsia="仿宋" w:cs="仿宋"/>
          <w:sz w:val="24"/>
          <w:szCs w:val="20"/>
          <w:highlight w:val="none"/>
        </w:rPr>
        <w:t xml:space="preserve">2.供应商为自然人的情形，可不提供本《授权委托书》。</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562"/>
        <w:jc w:val="center"/>
        <w:spacing w:before="240" w:after="24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rPr>
          <w:rFonts w:hint="eastAsia" w:ascii="仿宋" w:hAnsi="仿宋" w:eastAsia="仿宋" w:cs="仿宋"/>
          <w:b/>
          <w:bCs/>
          <w:sz w:val="28"/>
          <w:szCs w:val="28"/>
          <w:highlight w:val="none"/>
        </w:rPr>
        <w:t xml:space="preserve">法定代表人授权委托书</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法定代表人（或非法人组织负责人）姓名：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身份证号码：</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住所地：</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授权委托人姓名：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身份证号码：</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工作单位：</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住址：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电话：</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现委托</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就</w:t>
      </w:r>
      <w:r>
        <w:rPr>
          <w:rFonts w:hint="eastAsia" w:ascii="仿宋" w:hAnsi="仿宋" w:eastAsia="仿宋" w:cs="仿宋"/>
          <w:b/>
          <w:bCs/>
          <w:sz w:val="24"/>
          <w:highlight w:val="none"/>
          <w:u w:val="single"/>
        </w:rPr>
        <w:t xml:space="preserve">新北区人民医院项目一期气动物流设备采购</w:t>
      </w:r>
      <w:r>
        <w:rPr>
          <w:rFonts w:hint="eastAsia" w:ascii="仿宋" w:hAnsi="仿宋" w:eastAsia="仿宋" w:cs="仿宋"/>
          <w:b/>
          <w:bCs/>
          <w:sz w:val="24"/>
          <w:highlight w:val="none"/>
          <w:u w:val="single"/>
          <w:lang w:eastAsia="zh-CN"/>
        </w:rPr>
        <w:t xml:space="preserve">JSZC-320411-SCJX-G2026-0005</w:t>
      </w:r>
      <w:r>
        <w:rPr>
          <w:rFonts w:hint="eastAsia" w:ascii="仿宋" w:hAnsi="仿宋" w:eastAsia="仿宋" w:cs="仿宋"/>
          <w:sz w:val="24"/>
          <w:highlight w:val="none"/>
        </w:rPr>
        <w:t xml:space="preserve">采购活动，以我单位名义处理一切与之有关的事务。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本授权书于</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日签字或盖章</w:t>
      </w:r>
      <w:r>
        <w:rPr>
          <w:rFonts w:hint="eastAsia" w:ascii="仿宋" w:hAnsi="仿宋" w:eastAsia="仿宋" w:cs="仿宋"/>
          <w:b/>
          <w:sz w:val="24"/>
          <w:highlight w:val="none"/>
        </w:rPr>
        <w:t xml:space="preserve">生效，无转委托，</w:t>
      </w:r>
      <w:r>
        <w:rPr>
          <w:rFonts w:hint="eastAsia" w:ascii="仿宋" w:hAnsi="仿宋" w:eastAsia="仿宋" w:cs="仿宋"/>
          <w:sz w:val="24"/>
          <w:highlight w:val="none"/>
        </w:rPr>
        <w:t xml:space="preserve">特此声明。</w:t>
      </w:r>
      <w:r/>
    </w:p>
    <w:tbl>
      <w:tblPr>
        <w:tblStyle w:val="11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jc w:val="center"/>
          <w:trHeight w:val="3520"/>
        </w:trPr>
        <w:tc>
          <w:tcPr>
            <w:tcW w:w="8228" w:type="dxa"/>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（※授权委托人身份证正、反面扫描件※）</w:t>
            </w:r>
            <w:r/>
          </w:p>
        </w:tc>
      </w:tr>
    </w:tbl>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委托人（加盖单位公章）：</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法定代表人（或非法人组织负责人）（签字或盖章）：</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授权委托人：（签字或盖章）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详细通讯地址：</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邮政编码 ：</w:t>
      </w:r>
      <w:r>
        <w:rPr>
          <w:rFonts w:hint="eastAsia" w:ascii="仿宋" w:hAnsi="仿宋" w:eastAsia="仿宋" w:cs="仿宋"/>
          <w:sz w:val="24"/>
          <w:highlight w:val="none"/>
          <w:u w:val="single"/>
        </w:rPr>
        <w:t xml:space="preserve">              </w:t>
      </w:r>
      <w:r/>
    </w:p>
    <w:p>
      <w:pPr>
        <w:ind w:firstLine="48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传        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电    话：</w:t>
      </w:r>
      <w:r>
        <w:rPr>
          <w:rFonts w:hint="eastAsia" w:ascii="仿宋" w:hAnsi="仿宋" w:eastAsia="仿宋" w:cs="仿宋"/>
          <w:sz w:val="24"/>
          <w:highlight w:val="none"/>
          <w:u w:val="single"/>
        </w:rPr>
        <w:t xml:space="preserve">              </w:t>
      </w:r>
      <w:r/>
    </w:p>
    <w:p>
      <w:pPr>
        <w:ind w:firstLine="480"/>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日        期：</w:t>
      </w:r>
      <w:r>
        <w:rPr>
          <w:rFonts w:hint="eastAsia" w:ascii="仿宋" w:hAnsi="仿宋" w:eastAsia="仿宋" w:cs="仿宋"/>
          <w:sz w:val="24"/>
          <w:highlight w:val="none"/>
          <w:u w:val="single"/>
        </w:rPr>
        <w:t xml:space="preserve">                </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t xml:space="preserve">3</w:t>
      </w:r>
      <w:r>
        <w:rPr>
          <w:rFonts w:hint="eastAsia" w:ascii="仿宋" w:hAnsi="仿宋" w:eastAsia="仿宋" w:cs="仿宋"/>
          <w:b/>
          <w:bCs/>
          <w:sz w:val="24"/>
          <w:highlight w:val="none"/>
        </w:rPr>
        <w:t xml:space="preserve">政府采购供应商信用承诺书</w:t>
      </w:r>
      <w:r>
        <w:rPr>
          <w:rFonts w:hint="eastAsia" w:ascii="仿宋" w:hAnsi="仿宋" w:eastAsia="仿宋" w:cs="仿宋"/>
          <w:b/>
          <w:bCs/>
          <w:sz w:val="24"/>
          <w:szCs w:val="20"/>
          <w:highlight w:val="none"/>
        </w:rPr>
        <w:t xml:space="preserve">（实质性格式）</w:t>
      </w:r>
      <w:r/>
    </w:p>
    <w:p>
      <w:pPr>
        <w:ind w:firstLine="321"/>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政府采购供应商信用承诺书</w:t>
      </w:r>
      <w:r/>
    </w:p>
    <w:p>
      <w:pPr>
        <w:ind w:firstLine="640"/>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五、承诺本单位自觉接受行政管理部门、行业组织、社会公众、新闻舆论的监督。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七、承诺本单位在信用中国（江苏）网站中无违法违规、较重或严重失信记录。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八、承诺本单位提出政府采购质疑和投诉坚持依法依规、诚实信用原则。</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九、根据政府采购相关法律法规的规定需要作出的其他承诺。 </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十一、承诺本单位同意将以上承诺事项上网公示，违背承诺约定行为将作为失信信息，记录到常州市公共信用信息系统，并予以公开。</w:t>
      </w:r>
      <w:r/>
    </w:p>
    <w:p>
      <w:pPr>
        <w:pStyle w:val="1440"/>
        <w:ind w:right="1050" w:firstLine="2520"/>
        <w:jc w:val="both"/>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ind w:firstLine="4830"/>
        <w:spacing w:line="360" w:lineRule="auto"/>
        <w:rPr>
          <w:rFonts w:hint="eastAsia" w:ascii="仿宋" w:hAnsi="仿宋" w:eastAsia="仿宋" w:cs="仿宋"/>
          <w:szCs w:val="21"/>
          <w:highlight w:val="none"/>
        </w:rPr>
      </w:pPr>
      <w:r/>
      <w:bookmarkStart w:id="813" w:name="_Hlt520274121"/>
      <w:r/>
      <w:bookmarkEnd w:id="813"/>
      <w:r/>
      <w:bookmarkStart w:id="814" w:name="_Hlt520343392"/>
      <w:r/>
      <w:bookmarkEnd w:id="814"/>
      <w:r/>
      <w:bookmarkStart w:id="815" w:name="_Hlt520273711"/>
      <w:r/>
      <w:bookmarkEnd w:id="815"/>
      <w:r/>
      <w:bookmarkStart w:id="816" w:name="_Hlt520343000"/>
      <w:r/>
      <w:bookmarkEnd w:id="816"/>
      <w:r/>
      <w:bookmarkStart w:id="817" w:name="_Hlt520350918"/>
      <w:r/>
      <w:bookmarkEnd w:id="817"/>
      <w:r/>
      <w:bookmarkStart w:id="818" w:name="_Hlt520274393"/>
      <w:r/>
      <w:bookmarkEnd w:id="818"/>
      <w:r/>
      <w:bookmarkStart w:id="819" w:name="_Hlt520274065"/>
      <w:r/>
      <w:bookmarkEnd w:id="819"/>
      <w:r/>
      <w:bookmarkStart w:id="820" w:name="_Hlt520271212"/>
      <w:r/>
      <w:bookmarkEnd w:id="820"/>
      <w:r/>
      <w:bookmarkStart w:id="821" w:name="_Hlt520274407"/>
      <w:r/>
      <w:bookmarkEnd w:id="821"/>
      <w:r/>
      <w:bookmarkStart w:id="822" w:name="_Hlt520355504"/>
      <w:r/>
      <w:bookmarkEnd w:id="822"/>
      <w:r/>
      <w:bookmarkStart w:id="823" w:name="_Hlk107701995"/>
      <w:r/>
      <w:bookmarkStart w:id="824" w:name="_Ref467988705"/>
      <w:r/>
      <w:bookmarkStart w:id="825" w:name="_Toc226309801"/>
      <w:r/>
      <w:bookmarkStart w:id="826" w:name="_Toc480942350"/>
      <w:r/>
      <w:bookmarkStart w:id="827" w:name="_Toc195842922"/>
      <w:r/>
      <w:bookmarkStart w:id="828" w:name="_Toc150774762"/>
      <w:r/>
      <w:bookmarkStart w:id="829" w:name="_Toc305158825"/>
      <w:r/>
      <w:bookmarkStart w:id="830" w:name="_Toc264969247"/>
      <w:r/>
      <w:bookmarkStart w:id="831" w:name="_Toc226965830"/>
      <w:r/>
      <w:bookmarkStart w:id="832" w:name="_Toc226337253"/>
      <w:r/>
      <w:bookmarkStart w:id="833" w:name="_Toc265228395"/>
      <w:r/>
      <w:bookmarkStart w:id="834" w:name="_Toc127151557"/>
      <w:r/>
      <w:bookmarkStart w:id="835" w:name="_Toc305158899"/>
      <w:r/>
      <w:bookmarkStart w:id="836" w:name="_Toc226965747"/>
      <w:r/>
      <w:bookmarkStart w:id="837" w:name="_Toc150480795"/>
      <w:r/>
      <w:bookmarkStart w:id="838" w:name="_Toc142311059"/>
      <w:r/>
      <w:bookmarkStart w:id="839" w:name="_Toc520356218"/>
      <w:r>
        <w:rPr>
          <w:rFonts w:hint="eastAsia" w:ascii="仿宋" w:hAnsi="仿宋" w:eastAsia="仿宋" w:cs="仿宋"/>
          <w:szCs w:val="21"/>
          <w:highlight w:val="none"/>
        </w:rPr>
        <w:t xml:space="preserve">供应商：（加盖公章）</w:t>
      </w:r>
      <w:r/>
    </w:p>
    <w:p>
      <w:pPr>
        <w:ind w:firstLine="480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ind w:firstLine="483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日期：    年    月    日</w:t>
      </w:r>
      <w:r/>
    </w:p>
    <w:p>
      <w:pPr>
        <w:jc w:val="left"/>
        <w:widowControl/>
        <w:rPr>
          <w:rFonts w:hint="eastAsia" w:ascii="仿宋" w:hAnsi="仿宋" w:eastAsia="仿宋" w:cs="仿宋"/>
          <w:sz w:val="24"/>
          <w:szCs w:val="20"/>
          <w:highlight w:val="none"/>
        </w:rPr>
      </w:pPr>
      <w:r>
        <w:rPr>
          <w:rFonts w:hint="eastAsia" w:ascii="仿宋" w:hAnsi="仿宋" w:eastAsia="仿宋" w:cs="仿宋"/>
          <w:sz w:val="24"/>
          <w:szCs w:val="20"/>
          <w:highlight w:val="none"/>
        </w:rPr>
        <w:br w:type="page" w:clear="all"/>
      </w:r>
      <w:bookmarkEnd w:id="823"/>
      <w:r>
        <w:rPr>
          <w:rFonts w:hint="eastAsia" w:ascii="仿宋" w:hAnsi="仿宋" w:eastAsia="仿宋" w:cs="仿宋"/>
          <w:sz w:val="24"/>
          <w:szCs w:val="20"/>
          <w:highlight w:val="none"/>
        </w:rPr>
        <w:t xml:space="preserve">4  开标一览表</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仿宋" w:hAnsi="仿宋" w:eastAsia="仿宋" w:cs="仿宋"/>
          <w:sz w:val="24"/>
          <w:szCs w:val="20"/>
          <w:highlight w:val="none"/>
        </w:rPr>
        <w:t xml:space="preserve">（实质性格式）</w:t>
      </w:r>
      <w:r/>
    </w:p>
    <w:p>
      <w:pPr>
        <w:jc w:val="center"/>
        <w:spacing w:line="360" w:lineRule="exact"/>
        <w:rPr>
          <w:rFonts w:hint="eastAsia" w:ascii="仿宋" w:hAnsi="仿宋" w:eastAsia="仿宋" w:cs="仿宋"/>
          <w:b/>
          <w:sz w:val="36"/>
          <w:szCs w:val="36"/>
          <w:highlight w:val="none"/>
        </w:rPr>
      </w:pPr>
      <w:r/>
      <w:bookmarkStart w:id="840" w:name="_Toc226965748"/>
      <w:r/>
      <w:bookmarkStart w:id="841" w:name="_Toc264969248"/>
      <w:r/>
      <w:bookmarkStart w:id="842" w:name="_Toc164608827"/>
      <w:r/>
      <w:bookmarkStart w:id="843" w:name="_Toc226965831"/>
      <w:r/>
      <w:bookmarkStart w:id="844" w:name="_Toc265228396"/>
      <w:r/>
      <w:bookmarkStart w:id="845" w:name="_Toc226337254"/>
      <w:r/>
      <w:bookmarkStart w:id="846" w:name="_Toc305158826"/>
      <w:r/>
      <w:bookmarkStart w:id="847" w:name="_Toc226309802"/>
      <w:r/>
      <w:bookmarkStart w:id="848" w:name="_Toc164608672"/>
      <w:r/>
      <w:bookmarkStart w:id="849" w:name="_Toc195842923"/>
      <w:r/>
      <w:bookmarkStart w:id="850" w:name="_Toc305158900"/>
      <w:r/>
      <w:r/>
    </w:p>
    <w:p>
      <w:pPr>
        <w:jc w:val="center"/>
        <w:spacing w:line="36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开标一览表</w:t>
      </w:r>
      <w:bookmarkEnd w:id="840"/>
      <w:r/>
      <w:bookmarkEnd w:id="841"/>
      <w:r/>
      <w:bookmarkEnd w:id="842"/>
      <w:r/>
      <w:bookmarkEnd w:id="843"/>
      <w:r/>
      <w:bookmarkEnd w:id="844"/>
      <w:r/>
      <w:bookmarkEnd w:id="845"/>
      <w:r/>
      <w:bookmarkEnd w:id="846"/>
      <w:r/>
      <w:bookmarkEnd w:id="847"/>
      <w:r/>
      <w:bookmarkEnd w:id="848"/>
      <w:r/>
      <w:bookmarkEnd w:id="849"/>
      <w:r/>
      <w:bookmarkEnd w:id="850"/>
      <w:r/>
      <w:r/>
    </w:p>
    <w:p>
      <w:pPr>
        <w:ind w:firstLine="240"/>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195"/>
        <w:tblW w:w="9360" w:type="dxa"/>
        <w:tblInd w:w="96" w:type="dxa"/>
        <w:tblLayout w:type="autofit"/>
        <w:tblCellMar>
          <w:left w:w="108" w:type="dxa"/>
          <w:top w:w="0" w:type="dxa"/>
          <w:right w:w="108" w:type="dxa"/>
          <w:bottom w:w="0" w:type="dxa"/>
        </w:tblCellMar>
        <w:tblLook w:val="04A0" w:firstRow="1" w:lastRow="0" w:firstColumn="1" w:lastColumn="0" w:noHBand="0" w:noVBand="1"/>
      </w:tblPr>
      <w:tblGrid>
        <w:gridCol w:w="1160"/>
        <w:gridCol w:w="2140"/>
        <w:gridCol w:w="2000"/>
        <w:gridCol w:w="1920"/>
        <w:gridCol w:w="2140"/>
      </w:tblGrid>
      <w:tr>
        <w:trPr>
          <w:trHeight w:val="1056"/>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序号</w:t>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项目名称</w:t>
            </w:r>
            <w:r/>
          </w:p>
        </w:tc>
        <w:tc>
          <w:tcPr>
            <w:tcBorders>
              <w:top w:val="singl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站点平均综合单价（元）</w:t>
            </w:r>
            <w:r/>
          </w:p>
        </w:tc>
        <w:tc>
          <w:tcPr>
            <w:tcBorders>
              <w:top w:val="singl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站点数</w:t>
            </w:r>
            <w:r/>
          </w:p>
        </w:tc>
        <w:tc>
          <w:tcPr>
            <w:tcBorders>
              <w:top w:val="singl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lang w:bidi="ar"/>
              </w:rPr>
              <w:t xml:space="preserve">投标总价（元）</w:t>
            </w:r>
            <w:r/>
          </w:p>
        </w:tc>
      </w:tr>
      <w:tr>
        <w:trPr>
          <w:trHeight w:val="1260"/>
        </w:trPr>
        <w:tc>
          <w:tcPr>
            <w:tcBorders>
              <w:top w:val="non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w:t>
            </w:r>
            <w:r/>
          </w:p>
        </w:tc>
        <w:tc>
          <w:tcPr>
            <w:tcBorders>
              <w:top w:val="none" w:color="000000" w:sz="4" w:space="0"/>
              <w:left w:val="none" w:color="000000" w:sz="4" w:space="0"/>
              <w:bottom w:val="single" w:color="000000" w:sz="4" w:space="0"/>
              <w:right w:val="single" w:color="000000" w:sz="4" w:space="0"/>
            </w:tcBorders>
            <w:tcW w:w="214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新北区人民医院项目一期气动物流设备采购</w:t>
            </w:r>
            <w:r/>
          </w:p>
        </w:tc>
        <w:tc>
          <w:tcPr>
            <w:tcBorders>
              <w:top w:val="none" w:color="000000" w:sz="4" w:space="0"/>
              <w:left w:val="none" w:color="000000" w:sz="4" w:space="0"/>
              <w:bottom w:val="single" w:color="000000" w:sz="4" w:space="0"/>
              <w:right w:val="single" w:color="000000" w:sz="4" w:space="0"/>
            </w:tcBorders>
            <w:tcW w:w="200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p>
        </w:tc>
        <w:tc>
          <w:tcPr>
            <w:tcBorders>
              <w:top w:val="none" w:color="000000" w:sz="4" w:space="0"/>
              <w:left w:val="none" w:color="000000" w:sz="4" w:space="0"/>
              <w:bottom w:val="single" w:color="000000" w:sz="4" w:space="0"/>
              <w:right w:val="single" w:color="000000" w:sz="4" w:space="0"/>
            </w:tcBorders>
            <w:tcW w:w="192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16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　</w:t>
            </w:r>
            <w:r/>
          </w:p>
        </w:tc>
      </w:tr>
      <w:tr>
        <w:trPr>
          <w:trHeight w:val="792"/>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项目负责人</w:t>
            </w:r>
            <w:r/>
          </w:p>
        </w:tc>
        <w:tc>
          <w:tcPr>
            <w:gridSpan w:val="3"/>
            <w:tcBorders>
              <w:top w:val="single" w:color="000000" w:sz="4" w:space="0"/>
              <w:left w:val="non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p>
        </w:tc>
      </w:tr>
      <w:tr>
        <w:trPr>
          <w:trHeight w:val="840"/>
        </w:trPr>
        <w:tc>
          <w:tcPr>
            <w:gridSpan w:val="2"/>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税率</w:t>
            </w:r>
            <w:r/>
          </w:p>
        </w:tc>
        <w:tc>
          <w:tcPr>
            <w:gridSpan w:val="3"/>
            <w:tcBorders>
              <w:top w:val="single" w:color="000000" w:sz="4" w:space="0"/>
              <w:left w:val="none" w:color="000000" w:sz="4" w:space="0"/>
              <w:bottom w:val="single" w:color="000000" w:sz="4" w:space="0"/>
              <w:right w:val="single" w:color="000000" w:sz="4" w:space="0"/>
            </w:tcBorders>
            <w:tcW w:w="6060"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bidi="ar"/>
              </w:rPr>
              <w:t xml:space="preserve">　</w:t>
            </w:r>
            <w:r/>
          </w:p>
        </w:tc>
      </w:tr>
    </w:tbl>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480"/>
        <w:spacing w:line="360" w:lineRule="auto"/>
        <w:tabs>
          <w:tab w:val="left" w:pos="5580" w:leader="none"/>
        </w:tabs>
        <w:rPr>
          <w:rFonts w:hint="eastAsia" w:ascii="仿宋" w:hAnsi="仿宋" w:eastAsia="仿宋" w:cs="仿宋"/>
          <w:b/>
          <w:bCs/>
          <w:szCs w:val="21"/>
          <w:highlight w:val="none"/>
        </w:rPr>
      </w:pPr>
      <w:r>
        <w:rPr>
          <w:rFonts w:hint="eastAsia" w:ascii="仿宋" w:hAnsi="仿宋" w:eastAsia="仿宋" w:cs="仿宋"/>
          <w:sz w:val="24"/>
          <w:highlight w:val="none"/>
        </w:rPr>
        <w:t xml:space="preserve">注：</w:t>
      </w:r>
      <w:r>
        <w:rPr>
          <w:rFonts w:hint="eastAsia" w:ascii="仿宋" w:hAnsi="仿宋" w:eastAsia="仿宋" w:cs="仿宋"/>
          <w:b/>
          <w:bCs/>
          <w:szCs w:val="21"/>
          <w:highlight w:val="none"/>
        </w:rPr>
        <w:t xml:space="preserve">投标报价不得高于最高限价，否则将作为无效投标。</w:t>
      </w:r>
      <w:r/>
    </w:p>
    <w:p>
      <w:pPr>
        <w:spacing w:before="25" w:after="25"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                        </w:t>
      </w:r>
      <w:r/>
    </w:p>
    <w:p>
      <w:pPr>
        <w:jc w:val="left"/>
        <w:spacing w:line="480" w:lineRule="auto"/>
        <w:widowControl/>
        <w:rPr>
          <w:rFonts w:hint="eastAsia" w:ascii="仿宋" w:hAnsi="仿宋" w:eastAsia="仿宋" w:cs="仿宋"/>
          <w:sz w:val="24"/>
          <w:highlight w:val="none"/>
        </w:rPr>
      </w:pPr>
      <w:r/>
      <w:bookmarkStart w:id="851" w:name="_Toc226965749"/>
      <w:r/>
      <w:bookmarkStart w:id="852" w:name="_Toc265228397"/>
      <w:r/>
      <w:bookmarkStart w:id="853" w:name="_Toc264969249"/>
      <w:r/>
      <w:bookmarkStart w:id="854" w:name="_Toc226337255"/>
      <w:r/>
      <w:bookmarkStart w:id="855" w:name="_Toc195842924"/>
      <w:r/>
      <w:bookmarkStart w:id="856" w:name="_Toc150480796"/>
      <w:r/>
      <w:bookmarkStart w:id="857" w:name="_Toc226309803"/>
      <w:r/>
      <w:bookmarkStart w:id="858" w:name="_Toc226965832"/>
      <w:r/>
      <w:bookmarkStart w:id="859" w:name="_Toc305158901"/>
      <w:r/>
      <w:bookmarkStart w:id="860" w:name="_Toc150774763"/>
      <w:r/>
      <w:bookmarkStart w:id="861" w:name="_Toc305158827"/>
      <w:r/>
      <w:bookmarkStart w:id="862" w:name="_Toc142311060"/>
      <w:r/>
      <w:bookmarkStart w:id="863" w:name="_Toc127151558"/>
      <w:r/>
      <w:r/>
    </w:p>
    <w:p>
      <w:pPr>
        <w:jc w:val="left"/>
        <w:spacing w:line="48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line="48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line="48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pStyle w:val="1202"/>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202"/>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b/>
          <w:bCs/>
          <w:sz w:val="28"/>
          <w:szCs w:val="28"/>
          <w:highlight w:val="none"/>
        </w:rPr>
        <w:outlineLvl w:val="1"/>
      </w:pPr>
      <w:r>
        <w:rPr>
          <w:rFonts w:hint="eastAsia" w:ascii="仿宋" w:hAnsi="仿宋" w:eastAsia="仿宋" w:cs="仿宋"/>
          <w:b/>
          <w:bCs/>
          <w:sz w:val="28"/>
          <w:szCs w:val="28"/>
          <w:highlight w:val="none"/>
        </w:rPr>
        <w:br w:type="page" w:clear="all"/>
      </w:r>
      <w:bookmarkStart w:id="864" w:name="_Hlk109125662"/>
      <w:r>
        <w:rPr>
          <w:rFonts w:hint="eastAsia" w:ascii="仿宋" w:hAnsi="仿宋" w:eastAsia="仿宋" w:cs="仿宋"/>
          <w:b/>
          <w:bCs/>
          <w:sz w:val="28"/>
          <w:szCs w:val="28"/>
          <w:highlight w:val="none"/>
        </w:rPr>
        <w:t xml:space="preserve">投标分项报价表（实质性格式）</w:t>
      </w:r>
      <w:bookmarkEnd w:id="864"/>
      <w:r/>
      <w:r/>
    </w:p>
    <w:p>
      <w:pPr>
        <w:jc w:val="center"/>
        <w:spacing w:line="360" w:lineRule="auto"/>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投标分项报价表</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p>
      <w:pPr>
        <w:jc w:val="right"/>
        <w:spacing w:line="360" w:lineRule="auto"/>
        <w:tabs>
          <w:tab w:val="left" w:pos="1800" w:leader="none"/>
          <w:tab w:val="left" w:pos="558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报价单位：元</w:t>
      </w:r>
      <w:r/>
    </w:p>
    <w:tbl>
      <w:tblPr>
        <w:tblStyle w:val="1195"/>
        <w:tblW w:w="4982" w:type="pct"/>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1282"/>
        <w:gridCol w:w="4462"/>
        <w:gridCol w:w="576"/>
        <w:gridCol w:w="578"/>
        <w:gridCol w:w="694"/>
        <w:gridCol w:w="733"/>
        <w:gridCol w:w="855"/>
      </w:tblGrid>
      <w:tr>
        <w:trPr>
          <w:trHeight w:val="330"/>
          <w:tblHeader/>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t xml:space="preserve">含税单价</w:t>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t xml:space="preserve">含税合价</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b/>
                <w:bCs/>
                <w:szCs w:val="21"/>
                <w:highlight w:val="none"/>
                <w:lang w:bidi="ar"/>
              </w:rPr>
            </w:pPr>
            <w:r>
              <w:rPr>
                <w:rFonts w:hint="eastAsia" w:ascii="仿宋" w:hAnsi="仿宋" w:eastAsia="仿宋" w:cs="仿宋"/>
                <w:b/>
                <w:bCs/>
                <w:szCs w:val="21"/>
                <w:highlight w:val="none"/>
              </w:rPr>
              <w:t xml:space="preserve">品牌和生产厂商</w:t>
            </w:r>
            <w:r/>
          </w:p>
        </w:tc>
      </w:tr>
      <w:tr>
        <w:trPr>
          <w:trHeight w:val="33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硬件部分</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65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传送瓶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1.内径 ≥120mm，长度≥350mm；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2.传输瓶最大载重量不小于5Kg；</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3.传输瓶在运行过程中的噪音小于45dB；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4.传输瓶两端为双旋盖及密封毡圈或翻盖及机械锁扣或侧面开启；</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5.传输瓶需密闭性保证，传输过程不破裂。</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9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★智能化站点（核心产品）</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1.采用前置式或上置式站点；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2.自动识别传输瓶，防异物进入；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3.采用≥10英寸彩色液晶触摸屏；</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4.具备身份校验功能，防止人员发生误触；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5.可修改本次任务传输速度和优先级；</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6.可设置工作时段，在设定时间段内站点正常工作；</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7.可禁用或启用本站点；</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8.具备发送等待超时功能，时间可设定，超时语音提醒；</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9.具备全局地址簿和热键设置，支持一键发送；</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10.站点可显示系统运行状况；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11.定位控制采用非机械接触式传感器电子智能定位；</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12.各站点供电条件满足需求使用。</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66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1.配置载物筐，内有软垫；</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2.配置传输瓶支架。</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检验科接收平台</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1.用于频繁接收的检验科使用；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2.配套满足检验科使用需求的平台滑轨；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3.采用≥10英寸彩色液晶触摸屏；</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4.可以同时存放4个瓶子。</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65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动力系统</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1.风机电源为三相AC380V，由变频器控制；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2.配置风机减振支架，运行噪音≤70db；</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3.提供专用过滤器，可防止异物进入；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4.站点使用启动停止有缓冲，平稳接收；</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5.最大传输速度为8m/s，半速2-3m/s（可手动或由系统自动选择）。</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传输管道</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不锈钢直管</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99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不锈钢弯管</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1.304不锈钢材质；</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2.管道外径为159mm，管壁厚不小于2mm；弯管的转弯半径不小于800mm；</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3.在管道穿越不同防火分区时，管道需做防火处理。</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96"/>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密封件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1.配套直管及弯管使用</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65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1.可在系统内由一主通道分支为三条通道；</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2.预留可预见的系统扩展接口；</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3.密封材料为特氟隆制成；</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4.外壳碳钢，表面喷涂；</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5.可远程查看状态，远程控制。</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33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控制部分</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906"/>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系统控制电缆</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1.电缆线专用，不与任何主电源直接连接；</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2.电缆线本身需有屏蔽措施以防止受外界电磁干扰。</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1320"/>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主控电源</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1.采用分部供电，集中控制，直流电源输入电压允许范围110-240VAC，50/60Hz；输出电压为≤36Vdc；</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2.电源为电子开关电源，具有防雷击、防杂波、防输出短路保护功能；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3.电源最远可传输1500米以上。</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408"/>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系统控制软件及硬件</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1.控制软件基于windows操作系统，包括气动物流调度监控平台与气动物流信息数据平台；</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2.可实时显示当前任务状态变化，实时显示当前任务消耗的时间；</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3.任务分时段统计分析，具备当天任务统计、周任务统计、月任务统计等功能；</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4.统计分析当天24小时和当月30天任务执行排布情况，并绘制运力分析统计曲线图；统计分析当日每个科室的发瓶情况，并绘制柱状图；</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5.将传输任务按子系统和路径节点拆分成若干个子路径，并分段执行，可以在监控电脑上查询每段子路径的执行情况；</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6.任务执行超过设置的时间周期时，监控软件会在界面上以文字、颜色变化和弹框进行提醒，并发送短信给相关运维人员；</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7.可绑定传输瓶与科室的对应关系，当站点识别到传输瓶编号后，无需选择接收科室，自动生成传输任务将传输瓶发回到绑定的科室；</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8.设备状态监控可显示站点、三向转换器、风机、转换中心的总数及异常数量，气动管道总长度；</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9.可与消防信号进行联动，当接收到消防异常信号时可关闭服务并暂停调度任务；</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10.与医院运维大数据平台进行数据对接，将物流相关信息全部可以展示在医院运维大数据平台。仅作数据提供，不做二次开发；</w:t>
            </w:r>
            <w:r>
              <w:rPr>
                <w:rFonts w:hint="eastAsia" w:ascii="仿宋" w:hAnsi="仿宋" w:eastAsia="仿宋" w:cs="仿宋"/>
                <w:szCs w:val="21"/>
                <w:highlight w:val="none"/>
                <w:lang w:bidi="ar"/>
              </w:rPr>
              <w:br/>
            </w:r>
            <w:r>
              <w:rPr>
                <w:rFonts w:hint="eastAsia" w:ascii="仿宋" w:hAnsi="仿宋" w:eastAsia="仿宋" w:cs="仿宋"/>
                <w:szCs w:val="21"/>
                <w:highlight w:val="none"/>
                <w:lang w:bidi="ar"/>
              </w:rPr>
              <w:t xml:space="preserve">11、CPU不少于十二核；内存不少于16G；硬盘采用固态和机械组合方式，不小于2T；独立显卡；液晶显示器≥23英寸；抗菌键盘；光电抗菌鼠标。</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498"/>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机房</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物料架，工作台，桌椅一套。</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542"/>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left"/>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c>
          <w:tcPr>
            <w:gridSpan w:val="5"/>
            <w:tcBorders>
              <w:top w:val="single" w:color="000000" w:sz="4" w:space="0"/>
              <w:left w:val="single" w:color="000000" w:sz="4" w:space="0"/>
              <w:bottom w:val="single" w:color="000000" w:sz="4" w:space="0"/>
              <w:right w:val="single" w:color="000000" w:sz="4" w:space="0"/>
            </w:tcBorders>
            <w:tcW w:w="1748"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r>
        <w:trPr>
          <w:trHeight w:val="542"/>
        </w:trPr>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备注</w:t>
            </w:r>
            <w:r/>
          </w:p>
        </w:tc>
        <w:tc>
          <w:tcPr>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站点平均综合单价</w:t>
            </w:r>
            <w:r/>
          </w:p>
        </w:tc>
        <w:tc>
          <w:tcPr>
            <w:tcBorders>
              <w:top w:val="single" w:color="000000" w:sz="4" w:space="0"/>
              <w:left w:val="single" w:color="000000" w:sz="4" w:space="0"/>
              <w:bottom w:val="single" w:color="000000" w:sz="4" w:space="0"/>
              <w:right w:val="single" w:color="000000" w:sz="4" w:space="0"/>
            </w:tcBorders>
            <w:tcW w:w="2271"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（合计金额/16站点）</w:t>
            </w:r>
            <w:r/>
          </w:p>
        </w:tc>
        <w:tc>
          <w:tcPr>
            <w:gridSpan w:val="5"/>
            <w:tcBorders>
              <w:top w:val="single" w:color="000000" w:sz="4" w:space="0"/>
              <w:left w:val="single" w:color="000000" w:sz="4" w:space="0"/>
              <w:bottom w:val="single" w:color="000000" w:sz="4" w:space="0"/>
              <w:right w:val="single" w:color="000000" w:sz="4" w:space="0"/>
            </w:tcBorders>
            <w:tcW w:w="1748" w:type="pct"/>
            <w:vAlign w:val="center"/>
            <w:textDirection w:val="lrTb"/>
            <w:noWrap w:val="false"/>
          </w:tcPr>
          <w:p>
            <w:pPr>
              <w:jc w:val="center"/>
              <w:widowControl/>
              <w:rPr>
                <w:rFonts w:hint="eastAsia" w:ascii="仿宋" w:hAnsi="仿宋" w:eastAsia="仿宋" w:cs="仿宋"/>
                <w:szCs w:val="21"/>
                <w:highlight w:val="none"/>
                <w:lang w:bidi="ar"/>
              </w:rPr>
            </w:pPr>
            <w:r>
              <w:rPr>
                <w:rFonts w:hint="eastAsia" w:ascii="仿宋" w:hAnsi="仿宋" w:eastAsia="仿宋" w:cs="仿宋"/>
                <w:szCs w:val="21"/>
                <w:highlight w:val="none"/>
                <w:lang w:bidi="ar"/>
              </w:rPr>
            </w:r>
            <w:r/>
          </w:p>
        </w:tc>
      </w:tr>
    </w:tbl>
    <w:p>
      <w:pPr>
        <w:jc w:val="left"/>
        <w:spacing w:line="360" w:lineRule="auto"/>
        <w:rPr>
          <w:rFonts w:hint="eastAsia" w:ascii="仿宋" w:hAnsi="仿宋" w:eastAsia="仿宋" w:cs="仿宋"/>
          <w:b/>
          <w:bCs/>
          <w:szCs w:val="21"/>
          <w:highlight w:val="none"/>
          <w:lang w:bidi="ar"/>
        </w:rPr>
      </w:pPr>
      <w:r>
        <w:rPr>
          <w:rFonts w:hint="eastAsia" w:ascii="仿宋" w:hAnsi="仿宋" w:eastAsia="仿宋" w:cs="仿宋"/>
          <w:b/>
          <w:bCs/>
          <w:szCs w:val="21"/>
          <w:highlight w:val="none"/>
          <w:lang w:bidi="ar"/>
        </w:rPr>
      </w:r>
      <w:r/>
    </w:p>
    <w:p>
      <w:pPr>
        <w:pStyle w:val="1371"/>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w:t>
      </w:r>
      <w:r/>
    </w:p>
    <w:p>
      <w:pPr>
        <w:pStyle w:val="1371"/>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1.应在分项报价表中明确品牌和生产厂商。</w:t>
      </w:r>
      <w:r/>
    </w:p>
    <w:p>
      <w:pPr>
        <w:pStyle w:val="1371"/>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2.《投标分项报价表》的总价合计金额必须与《开标一览表》中的投标总价一致。</w:t>
      </w:r>
      <w:r/>
    </w:p>
    <w:p>
      <w:pPr>
        <w:pStyle w:val="1371"/>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3.如果不提供分项报价将视为没有实质性响应招标文件。</w:t>
      </w:r>
      <w:r/>
    </w:p>
    <w:p>
      <w:pPr>
        <w:pStyle w:val="1371"/>
        <w:spacing w:line="360" w:lineRule="auto"/>
        <w:rPr>
          <w:rFonts w:hint="eastAsia" w:ascii="仿宋" w:hAnsi="仿宋" w:eastAsia="仿宋" w:cs="仿宋"/>
          <w:color w:val="auto"/>
          <w:highlight w:val="none"/>
        </w:rPr>
      </w:pPr>
      <w:r>
        <w:rPr>
          <w:rFonts w:hint="eastAsia" w:ascii="仿宋" w:hAnsi="仿宋" w:eastAsia="仿宋" w:cs="仿宋"/>
          <w:b/>
          <w:bCs/>
          <w:color w:val="auto"/>
          <w:sz w:val="21"/>
          <w:szCs w:val="21"/>
          <w:highlight w:val="none"/>
        </w:rPr>
        <w:t xml:space="preserve">4.</w:t>
      </w:r>
      <w:r>
        <w:rPr>
          <w:rFonts w:hint="eastAsia" w:ascii="仿宋" w:hAnsi="仿宋" w:eastAsia="仿宋" w:cs="仿宋"/>
          <w:b/>
          <w:color w:val="auto"/>
          <w:sz w:val="21"/>
          <w:szCs w:val="21"/>
          <w:highlight w:val="none"/>
        </w:rPr>
        <w:t xml:space="preserve">设备配置需满足招标文件对于物流系统的功能要求，供应商为确保本项目物流系统功能及验收的需要可自行调整清单，但须包含以上内容；自行调整的设备及配件等应包含在投标总价中，调整的设备及配件等需列出明细。</w:t>
      </w:r>
      <w:r/>
    </w:p>
    <w:p>
      <w:pPr>
        <w:pStyle w:val="1371"/>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371"/>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供应商：（加盖公章）</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法定代表人（或单位负责人）签字或盖章：</w:t>
      </w:r>
      <w:r/>
    </w:p>
    <w:p>
      <w:pPr>
        <w:jc w:val="left"/>
        <w:spacing w:line="480" w:lineRule="auto"/>
        <w:widowControl/>
        <w:rPr>
          <w:rFonts w:hint="eastAsia" w:ascii="仿宋" w:hAnsi="仿宋" w:eastAsia="仿宋" w:cs="仿宋"/>
          <w:sz w:val="24"/>
          <w:szCs w:val="20"/>
          <w:highlight w:val="none"/>
        </w:rPr>
      </w:pPr>
      <w:r>
        <w:rPr>
          <w:rFonts w:hint="eastAsia" w:ascii="仿宋" w:hAnsi="仿宋" w:eastAsia="仿宋" w:cs="仿宋"/>
          <w:szCs w:val="21"/>
          <w:highlight w:val="none"/>
        </w:rPr>
        <w:t xml:space="preserve">日期：    年    月    日</w:t>
      </w:r>
      <w:r>
        <w:rPr>
          <w:rFonts w:hint="eastAsia" w:ascii="仿宋" w:hAnsi="仿宋" w:eastAsia="仿宋" w:cs="仿宋"/>
          <w:b/>
          <w:bCs/>
          <w:sz w:val="32"/>
          <w:szCs w:val="32"/>
          <w:highlight w:val="none"/>
        </w:rPr>
        <w:br w:type="page" w:clear="all"/>
      </w:r>
      <w:r>
        <w:rPr>
          <w:rFonts w:hint="eastAsia" w:ascii="仿宋" w:hAnsi="仿宋" w:eastAsia="仿宋" w:cs="仿宋"/>
          <w:sz w:val="24"/>
          <w:szCs w:val="20"/>
          <w:highlight w:val="none"/>
        </w:rPr>
        <w:t xml:space="preserve">5</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Start w:id="865" w:name="_Toc305158904"/>
      <w:r/>
      <w:bookmarkStart w:id="866" w:name="_Toc226337258"/>
      <w:r/>
      <w:bookmarkStart w:id="867" w:name="_Toc264969252"/>
      <w:r/>
      <w:bookmarkStart w:id="868" w:name="_Toc127151562"/>
      <w:r/>
      <w:bookmarkStart w:id="869" w:name="_Toc142311062"/>
      <w:r/>
      <w:bookmarkStart w:id="870" w:name="_Toc226965752"/>
      <w:r/>
      <w:bookmarkStart w:id="871" w:name="_Toc195842927"/>
      <w:r/>
      <w:bookmarkStart w:id="872" w:name="_Toc226309806"/>
      <w:r/>
      <w:bookmarkStart w:id="873" w:name="_Toc305158830"/>
      <w:r/>
      <w:bookmarkStart w:id="874" w:name="_Toc265228400"/>
      <w:r/>
      <w:bookmarkStart w:id="875" w:name="_Toc226965835"/>
      <w:r/>
      <w:bookmarkStart w:id="876" w:name="_Toc150480798"/>
      <w:r/>
      <w:bookmarkStart w:id="877" w:name="_Toc150774765"/>
      <w:r/>
      <w:bookmarkStart w:id="878" w:name="_Toc305158903"/>
      <w:r/>
      <w:bookmarkStart w:id="879" w:name="_Toc226965751"/>
      <w:r/>
      <w:bookmarkStart w:id="880" w:name="_Toc226337257"/>
      <w:r/>
      <w:bookmarkStart w:id="881" w:name="_Toc150774764"/>
      <w:r/>
      <w:bookmarkStart w:id="882" w:name="_Toc226309805"/>
      <w:r/>
      <w:bookmarkStart w:id="883" w:name="_Toc226965834"/>
      <w:r/>
      <w:bookmarkStart w:id="884" w:name="_Toc195842926"/>
      <w:r/>
      <w:bookmarkStart w:id="885" w:name="_Toc127151561"/>
      <w:r/>
      <w:bookmarkStart w:id="886" w:name="_Toc265228399"/>
      <w:r/>
      <w:bookmarkStart w:id="887" w:name="_Toc305158829"/>
      <w:r/>
      <w:bookmarkStart w:id="888" w:name="_Toc142311061"/>
      <w:r/>
      <w:bookmarkStart w:id="889" w:name="_Toc264969251"/>
      <w:r/>
      <w:bookmarkStart w:id="890" w:name="_Toc150480797"/>
      <w:r>
        <w:rPr>
          <w:rFonts w:hint="eastAsia" w:ascii="仿宋" w:hAnsi="仿宋" w:eastAsia="仿宋" w:cs="仿宋"/>
          <w:sz w:val="24"/>
          <w:szCs w:val="20"/>
          <w:highlight w:val="none"/>
        </w:rPr>
        <w:t xml:space="preserve">合同条款偏离表</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hint="eastAsia" w:ascii="仿宋" w:hAnsi="仿宋" w:eastAsia="仿宋" w:cs="仿宋"/>
          <w:sz w:val="24"/>
          <w:szCs w:val="20"/>
          <w:highlight w:val="none"/>
        </w:rPr>
        <w:t xml:space="preserve">（实质性格式）</w:t>
      </w:r>
      <w:r/>
    </w:p>
    <w:p>
      <w:pPr>
        <w:jc w:val="center"/>
        <w:spacing w:line="360" w:lineRule="auto"/>
        <w:tabs>
          <w:tab w:val="left" w:pos="2775" w:leader="none"/>
          <w:tab w:val="center" w:pos="4153"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合同条款偏离表</w:t>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1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48"/>
        <w:gridCol w:w="798"/>
      </w:tblGrid>
      <w:tr>
        <w:trPr>
          <w:jc w:val="center"/>
          <w:trHeight w:val="930"/>
        </w:trPr>
        <w:tc>
          <w:tcPr>
            <w:gridSpan w:val="6"/>
            <w:tcW w:w="0" w:type="auto"/>
            <w:vAlign w:val="center"/>
            <w:textDirection w:val="lrTb"/>
            <w:noWrap w:val="false"/>
          </w:tcPr>
          <w:p>
            <w:pPr>
              <w:jc w:val="left"/>
              <w:rPr>
                <w:rFonts w:hint="eastAsia" w:ascii="仿宋" w:hAnsi="仿宋" w:eastAsia="仿宋" w:cs="仿宋"/>
                <w:b/>
                <w:sz w:val="24"/>
                <w:highlight w:val="none"/>
              </w:rPr>
            </w:pPr>
            <w:r>
              <w:rPr>
                <w:rFonts w:hint="eastAsia" w:ascii="仿宋" w:hAnsi="仿宋" w:eastAsia="仿宋" w:cs="仿宋"/>
                <w:b/>
                <w:sz w:val="24"/>
                <w:highlight w:val="none"/>
              </w:rPr>
              <w:t xml:space="preserve">对本项目合同条款的偏离情况（请进行勾选）：</w:t>
            </w:r>
            <w:r/>
          </w:p>
          <w:p>
            <w:pPr>
              <w:jc w:val="left"/>
              <w:rPr>
                <w:rFonts w:hint="eastAsia" w:ascii="仿宋" w:hAnsi="仿宋" w:eastAsia="仿宋" w:cs="仿宋"/>
                <w:b/>
                <w:sz w:val="24"/>
                <w:highlight w:val="none"/>
              </w:rPr>
            </w:pPr>
            <w:r>
              <w:rPr>
                <w:rFonts w:hint="eastAsia" w:ascii="仿宋" w:hAnsi="仿宋" w:eastAsia="仿宋" w:cs="仿宋"/>
                <w:b/>
                <w:sz w:val="24"/>
                <w:highlight w:val="none"/>
              </w:rPr>
              <w:t xml:space="preserve">□无偏离</w:t>
            </w:r>
            <w:r>
              <w:rPr>
                <w:rFonts w:hint="eastAsia" w:ascii="仿宋" w:hAnsi="仿宋" w:eastAsia="仿宋" w:cs="仿宋"/>
                <w:sz w:val="24"/>
                <w:highlight w:val="none"/>
              </w:rPr>
              <w:t xml:space="preserve">（</w:t>
            </w:r>
            <w:r>
              <w:rPr>
                <w:rFonts w:hint="eastAsia" w:ascii="仿宋" w:hAnsi="仿宋" w:eastAsia="仿宋" w:cs="仿宋"/>
                <w:sz w:val="24"/>
                <w:szCs w:val="21"/>
                <w:highlight w:val="none"/>
              </w:rPr>
              <w:t xml:space="preserve">如无偏离，仅勾选无偏离即可</w:t>
            </w:r>
            <w:r>
              <w:rPr>
                <w:rFonts w:hint="eastAsia" w:ascii="仿宋" w:hAnsi="仿宋" w:eastAsia="仿宋" w:cs="仿宋"/>
                <w:sz w:val="24"/>
                <w:highlight w:val="none"/>
              </w:rPr>
              <w:t xml:space="preserve">）</w:t>
            </w:r>
            <w:r/>
          </w:p>
          <w:p>
            <w:pPr>
              <w:jc w:val="left"/>
              <w:rPr>
                <w:rFonts w:hint="eastAsia" w:ascii="仿宋" w:hAnsi="仿宋" w:eastAsia="仿宋" w:cs="仿宋"/>
                <w:sz w:val="24"/>
                <w:highlight w:val="none"/>
              </w:rPr>
            </w:pPr>
            <w:r>
              <w:rPr>
                <w:rFonts w:hint="eastAsia" w:ascii="仿宋" w:hAnsi="仿宋" w:eastAsia="仿宋" w:cs="仿宋"/>
                <w:b/>
                <w:sz w:val="24"/>
                <w:highlight w:val="none"/>
              </w:rPr>
              <w:t xml:space="preserve">□有偏离</w:t>
            </w:r>
            <w:r>
              <w:rPr>
                <w:rFonts w:hint="eastAsia" w:ascii="仿宋" w:hAnsi="仿宋" w:eastAsia="仿宋" w:cs="仿宋"/>
                <w:sz w:val="24"/>
                <w:highlight w:val="none"/>
              </w:rPr>
              <w:t xml:space="preserve">（</w:t>
            </w:r>
            <w:r>
              <w:rPr>
                <w:rFonts w:hint="eastAsia" w:ascii="仿宋" w:hAnsi="仿宋" w:eastAsia="仿宋" w:cs="仿宋"/>
                <w:sz w:val="24"/>
                <w:szCs w:val="21"/>
                <w:highlight w:val="none"/>
              </w:rPr>
              <w:t xml:space="preserve">如有偏离，</w:t>
            </w:r>
            <w:r>
              <w:rPr>
                <w:rFonts w:hint="eastAsia" w:ascii="仿宋" w:hAnsi="仿宋" w:eastAsia="仿宋" w:cs="仿宋"/>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szCs w:val="21"/>
                <w:highlight w:val="none"/>
              </w:rPr>
              <w:t xml:space="preserve">招标文件</w:t>
            </w:r>
            <w:r>
              <w:rPr>
                <w:rFonts w:hint="eastAsia" w:ascii="仿宋" w:hAnsi="仿宋" w:eastAsia="仿宋" w:cs="仿宋"/>
                <w:sz w:val="24"/>
                <w:highlight w:val="none"/>
              </w:rPr>
              <w:t xml:space="preserve">条目号（页码）</w:t>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szCs w:val="21"/>
                <w:highlight w:val="none"/>
              </w:rPr>
              <w:t xml:space="preserve">招标文件</w:t>
            </w:r>
            <w:r>
              <w:rPr>
                <w:rFonts w:hint="eastAsia" w:ascii="仿宋" w:hAnsi="仿宋" w:eastAsia="仿宋" w:cs="仿宋"/>
                <w:sz w:val="24"/>
                <w:highlight w:val="none"/>
              </w:rPr>
              <w:t xml:space="preserve">要求</w:t>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投标文件内容</w:t>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8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30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00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4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79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2. “偏离情况”列应据实填写“正偏离”或“负偏离”。</w:t>
      </w:r>
      <w:r/>
    </w:p>
    <w:p>
      <w:pPr>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spacing w:before="25" w:after="25"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                      </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6</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hint="eastAsia" w:ascii="仿宋" w:hAnsi="仿宋" w:eastAsia="仿宋" w:cs="仿宋"/>
          <w:sz w:val="24"/>
          <w:szCs w:val="20"/>
          <w:highlight w:val="none"/>
        </w:rPr>
        <w:t xml:space="preserve">采购需求偏离表（实质性格式）</w:t>
      </w:r>
      <w:r/>
    </w:p>
    <w:p>
      <w:pPr>
        <w:ind w:firstLine="361"/>
        <w:jc w:val="center"/>
        <w:spacing w:line="360" w:lineRule="auto"/>
        <w:tabs>
          <w:tab w:val="left" w:pos="1800" w:leader="none"/>
          <w:tab w:val="left" w:pos="5580"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采购需求偏离表</w:t>
      </w:r>
      <w:r/>
    </w:p>
    <w:p>
      <w:pPr>
        <w:jc w:val="left"/>
        <w:spacing w:line="360" w:lineRule="auto"/>
        <w:tabs>
          <w:tab w:val="left" w:pos="1800" w:leader="none"/>
          <w:tab w:val="left" w:pos="5580" w:leader="none"/>
        </w:tabs>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19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招标文件条目号(页码)</w:t>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招标文件要求</w:t>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投标响应内容</w:t>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30"/>
        </w:trPr>
        <w:tc>
          <w:tcPr>
            <w:tcW w:w="7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48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12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7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0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注：</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1. 对招标文件中的所有商务、技术要求，除本表所列明的所有偏离外，均视作供应商已对之理解和响应。此表中若无任何文字说明，内容为空白，</w:t>
      </w:r>
      <w:r>
        <w:rPr>
          <w:rFonts w:hint="eastAsia" w:ascii="仿宋" w:hAnsi="仿宋" w:eastAsia="仿宋" w:cs="仿宋"/>
          <w:b/>
          <w:sz w:val="24"/>
          <w:highlight w:val="none"/>
        </w:rPr>
        <w:t xml:space="preserve">投标无效。</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sz w:val="24"/>
          <w:highlight w:val="none"/>
        </w:rPr>
        <w:t xml:space="preserve">2.“偏离情况”列应据实填写“正偏离”或“负偏离”、“无偏离”，实质性响应条款负偏离的将作为无效投标处理。其他条款的负偏离根据供应商说明的理由经评标委员会评审后确定是否符合本项目要求，不符合的将作无效投标处理。</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7 项目实施方案等，包括但不限于如下方面以及本招标文件要求的方案文件：</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（1）项目实施方案；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（2）质量保证方案；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（3）重点、难点分析及合理化建议；</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（4）试运行及培训方案；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（5）售后服务方案；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（6）质保期满后收费及维保配合；</w:t>
      </w:r>
      <w:r/>
    </w:p>
    <w:p>
      <w:pPr>
        <w:ind w:firstLine="480"/>
        <w:spacing w:line="560" w:lineRule="exact"/>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其他。</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rPr>
          <w:rFonts w:hint="eastAsia" w:ascii="仿宋" w:hAnsi="仿宋" w:eastAsia="仿宋" w:cs="仿宋"/>
          <w:sz w:val="24"/>
          <w:szCs w:val="20"/>
          <w:highlight w:val="none"/>
        </w:rPr>
      </w:pPr>
      <w:r>
        <w:rPr>
          <w:rFonts w:hint="eastAsia" w:ascii="仿宋" w:hAnsi="仿宋" w:eastAsia="仿宋" w:cs="仿宋"/>
          <w:sz w:val="24"/>
          <w:szCs w:val="20"/>
          <w:highlight w:val="none"/>
        </w:rPr>
        <w:t xml:space="preserve">8拟派团队人员一览表</w:t>
      </w:r>
      <w:r/>
    </w:p>
    <w:p>
      <w:pPr>
        <w:jc w:val="center"/>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拟派团队人员一览表</w:t>
      </w:r>
      <w:r/>
    </w:p>
    <w:p>
      <w:pPr>
        <w:jc w:val="left"/>
        <w:spacing w:line="360" w:lineRule="auto"/>
        <w:tabs>
          <w:tab w:val="left" w:pos="1800" w:leader="none"/>
          <w:tab w:val="left" w:pos="5580" w:leader="none"/>
        </w:tabs>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p>
    <w:tbl>
      <w:tblPr>
        <w:tblStyle w:val="1195"/>
        <w:tblW w:w="100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0"/>
        <w:gridCol w:w="1190"/>
        <w:gridCol w:w="945"/>
        <w:gridCol w:w="793"/>
        <w:gridCol w:w="1097"/>
        <w:gridCol w:w="945"/>
        <w:gridCol w:w="945"/>
        <w:gridCol w:w="945"/>
        <w:gridCol w:w="945"/>
        <w:gridCol w:w="1512"/>
      </w:tblGrid>
      <w:tr>
        <w:trPr>
          <w:jc w:val="center"/>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职称证书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执业证书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val="false"/>
          </w:tcPr>
          <w:p>
            <w:pPr>
              <w:jc w:val="center"/>
              <w:tabs>
                <w:tab w:val="left" w:pos="9765" w:leader="none"/>
              </w:tabs>
              <w:rPr>
                <w:rFonts w:hint="eastAsia" w:ascii="仿宋" w:hAnsi="仿宋" w:eastAsia="仿宋" w:cs="仿宋"/>
                <w:szCs w:val="21"/>
                <w:highlight w:val="none"/>
              </w:rPr>
            </w:pPr>
            <w:r>
              <w:rPr>
                <w:rFonts w:hint="eastAsia" w:ascii="仿宋" w:hAnsi="仿宋" w:eastAsia="仿宋" w:cs="仿宋"/>
                <w:szCs w:val="21"/>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190"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793"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Borders>
              <w:top w:val="single" w:color="auto" w:sz="4" w:space="0"/>
              <w:left w:val="single" w:color="auto" w:sz="4" w:space="0"/>
              <w:bottom w:val="single" w:color="auto" w:sz="4" w:space="0"/>
              <w:right w:val="single" w:color="auto" w:sz="4" w:space="0"/>
            </w:tcBorders>
            <w:tcW w:w="1512" w:type="dxa"/>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tc>
      </w:tr>
    </w:tbl>
    <w:p>
      <w:pPr>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r>
      <w:r/>
    </w:p>
    <w:p>
      <w:pPr>
        <w:ind w:firstLine="482"/>
        <w:spacing w:line="360" w:lineRule="auto"/>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注：</w:t>
      </w:r>
      <w:r/>
    </w:p>
    <w:p>
      <w:pPr>
        <w:ind w:firstLine="482"/>
        <w:spacing w:line="360" w:lineRule="auto"/>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明确一名项目负责人且须是</w:t>
      </w:r>
      <w:r>
        <w:rPr>
          <w:rFonts w:hint="eastAsia" w:ascii="仿宋" w:hAnsi="仿宋" w:eastAsia="仿宋" w:cs="仿宋"/>
          <w:b/>
          <w:sz w:val="24"/>
          <w:highlight w:val="none"/>
        </w:rPr>
        <w:t xml:space="preserve">供应商</w:t>
      </w:r>
      <w:r>
        <w:rPr>
          <w:rFonts w:hint="eastAsia" w:ascii="仿宋" w:hAnsi="仿宋" w:eastAsia="仿宋" w:cs="仿宋"/>
          <w:b/>
          <w:sz w:val="24"/>
          <w:highlight w:val="none"/>
          <w:lang w:val="zh-CN"/>
        </w:rPr>
        <w:t xml:space="preserve">正式职工，提供社保机构出具的供应商为</w:t>
      </w:r>
      <w:r>
        <w:rPr>
          <w:rFonts w:hint="eastAsia" w:ascii="仿宋" w:hAnsi="仿宋" w:eastAsia="仿宋" w:cs="仿宋"/>
          <w:b/>
          <w:sz w:val="24"/>
          <w:highlight w:val="none"/>
        </w:rPr>
        <w:t xml:space="preserve">该</w:t>
      </w:r>
      <w:r>
        <w:rPr>
          <w:rFonts w:hint="eastAsia" w:ascii="仿宋" w:hAnsi="仿宋" w:eastAsia="仿宋" w:cs="仿宋"/>
          <w:b/>
          <w:sz w:val="24"/>
          <w:highlight w:val="none"/>
          <w:lang w:val="zh-CN"/>
        </w:rPr>
        <w:t xml:space="preserve">员工缴纳的</w:t>
      </w:r>
      <w:r>
        <w:rPr>
          <w:rFonts w:hint="eastAsia" w:ascii="仿宋" w:hAnsi="仿宋" w:eastAsia="仿宋" w:cs="仿宋"/>
          <w:b/>
          <w:sz w:val="24"/>
          <w:highlight w:val="none"/>
        </w:rPr>
        <w:t xml:space="preserve">近六个月内任意一个月的</w:t>
      </w:r>
      <w:r>
        <w:rPr>
          <w:rFonts w:hint="eastAsia" w:ascii="仿宋" w:hAnsi="仿宋" w:eastAsia="仿宋" w:cs="仿宋"/>
          <w:b/>
          <w:sz w:val="24"/>
          <w:highlight w:val="none"/>
          <w:lang w:val="zh-CN"/>
        </w:rPr>
        <w:t xml:space="preserve">社保证明材料复印件加盖供应商公章。</w:t>
      </w:r>
      <w:r/>
    </w:p>
    <w:p>
      <w:pPr>
        <w:ind w:firstLine="482"/>
        <w:spacing w:line="360" w:lineRule="auto"/>
        <w:tabs>
          <w:tab w:val="left" w:pos="9765" w:leader="none"/>
        </w:tabs>
        <w:rPr>
          <w:rFonts w:hint="eastAsia" w:ascii="仿宋" w:hAnsi="仿宋" w:eastAsia="仿宋" w:cs="仿宋"/>
          <w:b/>
          <w:sz w:val="24"/>
          <w:highlight w:val="none"/>
          <w:lang w:val="zh-CN"/>
        </w:rPr>
      </w:pPr>
      <w:r>
        <w:rPr>
          <w:rFonts w:hint="eastAsia" w:ascii="仿宋" w:hAnsi="仿宋" w:eastAsia="仿宋" w:cs="仿宋"/>
          <w:b/>
          <w:sz w:val="24"/>
          <w:highlight w:val="none"/>
          <w:lang w:val="zh-CN"/>
        </w:rPr>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sz w:val="24"/>
          <w:szCs w:val="20"/>
          <w:highlight w:val="none"/>
        </w:rPr>
      </w:pPr>
      <w:r>
        <w:rPr>
          <w:rFonts w:hint="eastAsia" w:ascii="仿宋" w:hAnsi="仿宋" w:eastAsia="仿宋" w:cs="仿宋"/>
          <w:sz w:val="22"/>
          <w:highlight w:val="none"/>
        </w:rPr>
        <w:br w:type="page" w:clear="all"/>
      </w:r>
      <w:bookmarkStart w:id="891" w:name="_Toc288738839"/>
      <w:r/>
      <w:bookmarkStart w:id="892" w:name="_Toc288738397"/>
      <w:r>
        <w:rPr>
          <w:rFonts w:hint="eastAsia" w:ascii="仿宋" w:hAnsi="仿宋" w:eastAsia="仿宋" w:cs="仿宋"/>
          <w:sz w:val="24"/>
          <w:szCs w:val="20"/>
          <w:highlight w:val="none"/>
        </w:rPr>
        <w:t xml:space="preserve">9相关业绩案例一览表</w:t>
      </w:r>
      <w:r/>
    </w:p>
    <w:p>
      <w:pPr>
        <w:rPr>
          <w:rFonts w:hint="eastAsia" w:ascii="仿宋" w:hAnsi="仿宋" w:eastAsia="仿宋" w:cs="仿宋"/>
          <w:sz w:val="24"/>
          <w:szCs w:val="20"/>
          <w:highlight w:val="none"/>
        </w:rPr>
      </w:pPr>
      <w:r>
        <w:rPr>
          <w:rFonts w:hint="eastAsia" w:ascii="仿宋" w:hAnsi="仿宋" w:eastAsia="仿宋" w:cs="仿宋"/>
          <w:sz w:val="24"/>
          <w:szCs w:val="20"/>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相关业绩案例一览表</w:t>
      </w:r>
      <w:bookmarkEnd w:id="891"/>
      <w:r/>
      <w:bookmarkEnd w:id="892"/>
      <w:r/>
      <w:r/>
    </w:p>
    <w:p>
      <w:pPr>
        <w:jc w:val="left"/>
        <w:spacing w:line="360" w:lineRule="auto"/>
        <w:tabs>
          <w:tab w:val="left" w:pos="1800" w:leader="none"/>
          <w:tab w:val="left" w:pos="5580" w:leader="none"/>
        </w:tabs>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项目编号：</w:t>
      </w:r>
      <w:r>
        <w:rPr>
          <w:rFonts w:hint="eastAsia" w:ascii="仿宋" w:hAnsi="仿宋" w:eastAsia="仿宋" w:cs="仿宋"/>
          <w:b/>
          <w:bCs/>
          <w:sz w:val="24"/>
          <w:highlight w:val="none"/>
          <w:u w:val="single"/>
          <w:lang w:eastAsia="zh-CN"/>
        </w:rPr>
        <w:t xml:space="preserve">JSZC-320411-SCJX-G2026-0005</w:t>
      </w:r>
      <w:r/>
    </w:p>
    <w:p>
      <w:pPr>
        <w:jc w:val="left"/>
        <w:spacing w:line="360" w:lineRule="auto"/>
        <w:tabs>
          <w:tab w:val="left" w:pos="1800" w:leader="none"/>
          <w:tab w:val="left" w:pos="5580" w:leader="none"/>
        </w:tabs>
        <w:rPr>
          <w:rFonts w:hint="eastAsia" w:ascii="仿宋" w:hAnsi="仿宋" w:eastAsia="仿宋" w:cs="仿宋"/>
          <w:sz w:val="24"/>
          <w:highlight w:val="none"/>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u w:val="single"/>
        </w:rPr>
        <w:t xml:space="preserve">新北区人民医院项目一期气动物流设备采购</w:t>
      </w:r>
      <w:r>
        <w:rPr>
          <w:rFonts w:hint="eastAsia" w:ascii="仿宋" w:hAnsi="仿宋" w:eastAsia="仿宋" w:cs="仿宋"/>
          <w:sz w:val="24"/>
          <w:highlight w:val="none"/>
          <w:u w:val="single"/>
        </w:rPr>
        <w:t xml:space="preserve">                   </w:t>
      </w:r>
      <w:r/>
    </w:p>
    <w:tbl>
      <w:tblPr>
        <w:tblStyle w:val="1195"/>
        <w:tblW w:w="4980" w:type="pct"/>
        <w:jc w:val="center"/>
        <w:tblLayout w:type="autofit"/>
        <w:tblCellMar>
          <w:left w:w="108" w:type="dxa"/>
          <w:top w:w="0" w:type="dxa"/>
          <w:right w:w="108" w:type="dxa"/>
          <w:bottom w:w="0" w:type="dxa"/>
        </w:tblCellMar>
        <w:tblLook w:val="04A0" w:firstRow="1" w:lastRow="0" w:firstColumn="1" w:lastColumn="0" w:noHBand="0" w:noVBand="1"/>
      </w:tblPr>
      <w:tblGrid>
        <w:gridCol w:w="1750"/>
        <w:gridCol w:w="1701"/>
        <w:gridCol w:w="1430"/>
        <w:gridCol w:w="2422"/>
        <w:gridCol w:w="1613"/>
        <w:gridCol w:w="900"/>
      </w:tblGrid>
      <w:tr>
        <w:trPr>
          <w:jc w:val="center"/>
          <w:trHeight w:val="498"/>
        </w:trPr>
        <w:tc>
          <w:tcPr>
            <w:tcBorders>
              <w:top w:val="single" w:color="auto" w:sz="6" w:space="0"/>
              <w:left w:val="single" w:color="auto" w:sz="6" w:space="0"/>
              <w:bottom w:val="single" w:color="auto" w:sz="6" w:space="0"/>
              <w:right w:val="single" w:color="auto" w:sz="6" w:space="0"/>
            </w:tcBorders>
            <w:tcW w:w="891"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rPr>
              <w:t xml:space="preserve">合同签订</w:t>
            </w:r>
            <w:r>
              <w:rPr>
                <w:rFonts w:hint="eastAsia" w:ascii="仿宋" w:hAnsi="仿宋" w:eastAsia="仿宋" w:cs="仿宋"/>
                <w:sz w:val="24"/>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866"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728"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233"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lang w:val="zh-CN"/>
              </w:rPr>
              <w:t xml:space="preserve">合同金额（</w:t>
            </w:r>
            <w:r>
              <w:rPr>
                <w:rFonts w:hint="eastAsia" w:ascii="仿宋" w:hAnsi="仿宋" w:eastAsia="仿宋" w:cs="仿宋"/>
                <w:sz w:val="24"/>
                <w:highlight w:val="none"/>
              </w:rPr>
              <w:t xml:space="preserve">元）</w:t>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rPr>
              <w:t xml:space="preserve">联系人</w:t>
            </w:r>
            <w:r/>
          </w:p>
        </w:tc>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891"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vAlign w:val="center"/>
            <w:textDirection w:val="lrTb"/>
            <w:noWrap w:val="false"/>
          </w:tcPr>
          <w:p>
            <w:pPr>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vAlign w:val="center"/>
            <w:textDirection w:val="lrTb"/>
            <w:noWrap w:val="false"/>
          </w:tcPr>
          <w:p>
            <w:pPr>
              <w:ind w:hanging="523"/>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vAlign w:val="center"/>
            <w:textDirection w:val="lrTb"/>
            <w:noWrap w:val="false"/>
          </w:tcPr>
          <w:p>
            <w:pPr>
              <w:ind w:hanging="523"/>
              <w:jc w:val="cente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9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66"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72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1233"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821"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c>
          <w:tcPr>
            <w:tcBorders>
              <w:top w:val="single" w:color="auto" w:sz="6" w:space="0"/>
              <w:left w:val="single" w:color="auto" w:sz="6" w:space="0"/>
              <w:bottom w:val="single" w:color="auto" w:sz="6" w:space="0"/>
              <w:right w:val="single" w:color="auto" w:sz="6" w:space="0"/>
            </w:tcBorders>
            <w:tcW w:w="458" w:type="pct"/>
            <w:textDirection w:val="lrTb"/>
            <w:noWrap w:val="false"/>
          </w:tcPr>
          <w:p>
            <w:pPr>
              <w:spacing w:line="360" w:lineRule="auto"/>
              <w:tabs>
                <w:tab w:val="left" w:pos="9765" w:leader="none"/>
              </w:tabs>
              <w:rPr>
                <w:rFonts w:hint="eastAsia" w:ascii="仿宋" w:hAnsi="仿宋" w:eastAsia="仿宋" w:cs="仿宋"/>
                <w:sz w:val="24"/>
                <w:highlight w:val="none"/>
              </w:rPr>
            </w:pPr>
            <w:r>
              <w:rPr>
                <w:rFonts w:hint="eastAsia" w:ascii="仿宋" w:hAnsi="仿宋" w:eastAsia="仿宋" w:cs="仿宋"/>
                <w:sz w:val="24"/>
                <w:highlight w:val="none"/>
              </w:rPr>
            </w:r>
            <w:r/>
          </w:p>
        </w:tc>
      </w:tr>
    </w:tbl>
    <w:p>
      <w:pPr>
        <w:tabs>
          <w:tab w:val="left" w:pos="9765"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供应商：（加盖公章）</w:t>
      </w:r>
      <w:r/>
    </w:p>
    <w:p>
      <w:pPr>
        <w:jc w:val="left"/>
        <w:spacing w:before="240" w:after="240"/>
        <w:rPr>
          <w:rFonts w:hint="eastAsia" w:ascii="仿宋" w:hAnsi="仿宋" w:eastAsia="仿宋" w:cs="仿宋"/>
          <w:sz w:val="24"/>
          <w:highlight w:val="none"/>
        </w:rPr>
      </w:pPr>
      <w:r>
        <w:rPr>
          <w:rFonts w:hint="eastAsia" w:ascii="仿宋" w:hAnsi="仿宋" w:eastAsia="仿宋" w:cs="仿宋"/>
          <w:sz w:val="24"/>
          <w:highlight w:val="none"/>
        </w:rPr>
        <w:t xml:space="preserve">法定代表人</w:t>
      </w:r>
      <w:r>
        <w:rPr>
          <w:rFonts w:hint="eastAsia" w:ascii="仿宋" w:hAnsi="仿宋" w:eastAsia="仿宋" w:cs="仿宋"/>
          <w:sz w:val="24"/>
          <w:szCs w:val="20"/>
          <w:highlight w:val="none"/>
        </w:rPr>
        <w:t xml:space="preserve">签字或签章</w:t>
      </w:r>
      <w:r>
        <w:rPr>
          <w:rFonts w:hint="eastAsia" w:ascii="仿宋" w:hAnsi="仿宋" w:eastAsia="仿宋" w:cs="仿宋"/>
          <w:sz w:val="24"/>
          <w:highlight w:val="none"/>
        </w:rPr>
        <w:t xml:space="preserve">：</w:t>
      </w:r>
      <w:r/>
    </w:p>
    <w:p>
      <w:pPr>
        <w:jc w:val="left"/>
        <w:spacing w:before="240" w:after="240"/>
        <w:rPr>
          <w:rFonts w:hint="eastAsia" w:ascii="仿宋" w:hAnsi="仿宋" w:eastAsia="仿宋" w:cs="仿宋"/>
          <w:b/>
          <w:i/>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4"/>
          <w:szCs w:val="20"/>
          <w:highlight w:val="none"/>
        </w:rPr>
      </w:r>
      <w:r/>
    </w:p>
    <w:p>
      <w:pPr>
        <w:jc w:val="left"/>
        <w:spacing w:line="360" w:lineRule="auto"/>
        <w:rPr>
          <w:rFonts w:hint="eastAsia" w:ascii="仿宋" w:hAnsi="仿宋" w:eastAsia="仿宋" w:cs="仿宋"/>
          <w:sz w:val="24"/>
          <w:szCs w:val="20"/>
          <w:highlight w:val="none"/>
        </w:rPr>
      </w:pP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10关于符合本国产品标准的声明函</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480" w:lineRule="auto"/>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关于符合本国产品标准的声明函（采购包号：**）</w:t>
      </w:r>
      <w:r/>
    </w:p>
    <w:p>
      <w:pPr>
        <w:pStyle w:val="1222"/>
        <w:ind w:firstLine="42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22"/>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4852670</wp:posOffset>
                </wp:positionH>
                <wp:positionV relativeFrom="paragraph">
                  <wp:posOffset>67945</wp:posOffset>
                </wp:positionV>
                <wp:extent cx="683260" cy="111125"/>
                <wp:effectExtent l="635" t="4445" r="1905" b="11430"/>
                <wp:wrapNone/>
                <wp:docPr id="9" name="自选图形 6"/>
                <wp:cNvGraphicFramePr/>
                <a:graphic xmlns:a="http://schemas.openxmlformats.org/drawingml/2006/main">
                  <a:graphicData uri="http://schemas.microsoft.com/office/word/2010/wordprocessingShape">
                    <wps:wsp>
                      <wps:cNvPr id="0" name=""/>
                      <wps:cNvSpPr/>
                      <wps:spPr bwMode="auto">
                        <a:xfrm flipV="1">
                          <a:off x="0" y="0"/>
                          <a:ext cx="68326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82.1pt;mso-position-horizontal:absolute;mso-position-vertical-relative:text;margin-top:5.3pt;mso-position-vertical:absolute;width:53.8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1718310</wp:posOffset>
                </wp:positionH>
                <wp:positionV relativeFrom="paragraph">
                  <wp:posOffset>661035</wp:posOffset>
                </wp:positionV>
                <wp:extent cx="816610" cy="147320"/>
                <wp:effectExtent l="635" t="4445" r="8255" b="13335"/>
                <wp:wrapNone/>
                <wp:docPr id="10" name="自选图形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7456;o:allowoverlap:true;o:allowincell:true;mso-position-horizontal-relative:text;margin-left:135.3pt;mso-position-horizontal:absolute;mso-position-vertical-relative:text;margin-top:52.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546735</wp:posOffset>
                </wp:positionH>
                <wp:positionV relativeFrom="paragraph">
                  <wp:posOffset>650240</wp:posOffset>
                </wp:positionV>
                <wp:extent cx="876300" cy="120015"/>
                <wp:effectExtent l="635" t="4445" r="12065" b="15240"/>
                <wp:wrapNone/>
                <wp:docPr id="11" name="自选图形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43.0pt;mso-position-horizontal:absolute;mso-position-vertical-relative:text;margin-top:51.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4414520</wp:posOffset>
                </wp:positionH>
                <wp:positionV relativeFrom="paragraph">
                  <wp:posOffset>389255</wp:posOffset>
                </wp:positionV>
                <wp:extent cx="636270" cy="102870"/>
                <wp:effectExtent l="635" t="4445" r="10795" b="698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63627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47.6pt;mso-position-horizontal:absolute;mso-position-vertical-relative:text;margin-top:30.6pt;mso-position-vertical:absolute;width:50.1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3209290</wp:posOffset>
                </wp:positionH>
                <wp:positionV relativeFrom="paragraph">
                  <wp:posOffset>375920</wp:posOffset>
                </wp:positionV>
                <wp:extent cx="816610" cy="103505"/>
                <wp:effectExtent l="635" t="4445" r="8255" b="6350"/>
                <wp:wrapNone/>
                <wp:docPr id="13" name="自选图形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0288;o:allowoverlap:true;o:allowincell:true;mso-position-horizontal-relative:text;margin-left:252.7pt;mso-position-horizontal:absolute;mso-position-vertical-relative:text;margin-top:29.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2087880</wp:posOffset>
                </wp:positionH>
                <wp:positionV relativeFrom="paragraph">
                  <wp:posOffset>391795</wp:posOffset>
                </wp:positionV>
                <wp:extent cx="816610" cy="76200"/>
                <wp:effectExtent l="635" t="4445" r="8255" b="8255"/>
                <wp:wrapNone/>
                <wp:docPr id="14" name="自选图形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59264;o:allowoverlap:true;o:allowincell:true;mso-position-horizontal-relative:text;margin-left:164.4pt;mso-position-horizontal:absolute;mso-position-vertical-relative:text;margin-top:30.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shd w:val="clear" w:color="auto" w:fill="ffffff"/>
        </w:rPr>
        <w:t xml:space="preserve">1.</w:t>
      </w:r>
      <w:r>
        <w:rPr>
          <w:rStyle w:val="1232"/>
          <w:rFonts w:hint="eastAsia" w:ascii="仿宋" w:hAnsi="仿宋" w:eastAsia="仿宋" w:cs="仿宋"/>
          <w:color w:val="auto"/>
          <w:highlight w:val="none"/>
          <w:u w:val="single"/>
          <w:shd w:val="clear" w:color="auto" w:fill="ffffff"/>
        </w:rPr>
        <w:t xml:space="preserve">（产品名称1）</w:t>
      </w:r>
      <w:r>
        <w:rPr>
          <w:rStyle w:val="1232"/>
          <w:rFonts w:hint="eastAsia" w:ascii="仿宋" w:hAnsi="仿宋" w:eastAsia="仿宋" w:cs="仿宋"/>
          <w:color w:val="auto"/>
          <w:highlight w:val="none"/>
          <w:shd w:val="clear" w:color="auto" w:fill="ffffff"/>
          <w:vertAlign w:val="superscript"/>
        </w:rPr>
        <w:t xml:space="preserve">1</w:t>
      </w:r>
      <w:r>
        <w:rPr>
          <w:rFonts w:hint="eastAsia" w:ascii="仿宋" w:hAnsi="仿宋" w:eastAsia="仿宋" w:cs="仿宋"/>
          <w:highlight w:val="none"/>
          <w:shd w:val="clear" w:color="auto" w:fill="ffffff"/>
        </w:rPr>
        <w:t xml:space="preserve">，生产厂为</w:t>
      </w:r>
      <w:r>
        <w:rPr>
          <w:rStyle w:val="1232"/>
          <w:rFonts w:hint="eastAsia" w:ascii="仿宋" w:hAnsi="仿宋" w:eastAsia="仿宋" w:cs="仿宋"/>
          <w:color w:val="auto"/>
          <w:highlight w:val="none"/>
          <w:u w:val="single"/>
          <w:shd w:val="clear" w:color="auto" w:fill="ffffff"/>
        </w:rPr>
        <w:t xml:space="preserve">（厂名）</w:t>
      </w:r>
      <w:r>
        <w:rPr>
          <w:rStyle w:val="1232"/>
          <w:rFonts w:hint="eastAsia" w:ascii="仿宋" w:hAnsi="仿宋" w:eastAsia="仿宋" w:cs="仿宋"/>
          <w:color w:val="auto"/>
          <w:highlight w:val="none"/>
          <w:shd w:val="clear" w:color="auto" w:fill="ffffff"/>
          <w:vertAlign w:val="superscript"/>
        </w:rPr>
        <w:t xml:space="preserve">2</w:t>
      </w:r>
      <w:r>
        <w:rPr>
          <w:rFonts w:hint="eastAsia" w:ascii="仿宋" w:hAnsi="仿宋" w:eastAsia="仿宋" w:cs="仿宋"/>
          <w:highlight w:val="none"/>
          <w:shd w:val="clear" w:color="auto" w:fill="ffffff"/>
        </w:rPr>
        <w:t xml:space="preserve">，厂址为</w:t>
      </w:r>
      <w:r>
        <w:rPr>
          <w:rStyle w:val="1232"/>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highlight w:val="none"/>
          <w:shd w:val="clear" w:color="auto" w:fill="ffffff"/>
        </w:rPr>
        <w:t xml:space="preserve">。</w:t>
      </w:r>
      <w:r>
        <w:rPr>
          <w:rFonts w:hint="eastAsia" w:ascii="仿宋" w:hAnsi="仿宋" w:eastAsia="仿宋" w:cs="仿宋"/>
          <w:highlight w:val="none"/>
          <w:u w:val="single"/>
          <w:shd w:val="clear" w:color="auto" w:fill="ffffff"/>
        </w:rPr>
        <w:t xml:space="preserve"> </w:t>
      </w:r>
      <w:r>
        <w:rPr>
          <w:rStyle w:val="1232"/>
          <w:rFonts w:hint="eastAsia" w:ascii="仿宋" w:hAnsi="仿宋" w:eastAsia="仿宋" w:cs="仿宋"/>
          <w:color w:val="auto"/>
          <w:highlight w:val="none"/>
          <w:u w:val="single"/>
          <w:shd w:val="clear" w:color="auto" w:fill="ffffff"/>
        </w:rPr>
        <w:t xml:space="preserve">（产品名称1） </w:t>
      </w:r>
      <w:r>
        <w:rPr>
          <w:rFonts w:hint="eastAsia" w:ascii="仿宋" w:hAnsi="仿宋" w:eastAsia="仿宋" w:cs="仿宋"/>
          <w:highlight w:val="none"/>
          <w:shd w:val="clear" w:color="auto" w:fill="ffffff"/>
        </w:rPr>
        <w:t xml:space="preserve">的中国境内生产的组件成本占比≥</w:t>
      </w:r>
      <w:r>
        <w:rPr>
          <w:rStyle w:val="1232"/>
          <w:rFonts w:hint="eastAsia" w:ascii="仿宋" w:hAnsi="仿宋" w:eastAsia="仿宋" w:cs="仿宋"/>
          <w:color w:val="auto"/>
          <w:highlight w:val="none"/>
          <w:u w:val="single"/>
          <w:shd w:val="clear" w:color="auto" w:fill="ffffff"/>
        </w:rPr>
        <w:t xml:space="preserve">（规定比例）</w:t>
      </w:r>
      <w:r>
        <w:rPr>
          <w:rStyle w:val="1232"/>
          <w:rFonts w:hint="eastAsia" w:ascii="仿宋" w:hAnsi="仿宋" w:eastAsia="仿宋" w:cs="仿宋"/>
          <w:color w:val="auto"/>
          <w:highlight w:val="none"/>
          <w:shd w:val="clear" w:color="auto" w:fill="ffffff"/>
          <w:vertAlign w:val="superscript"/>
        </w:rPr>
        <w:t xml:space="preserve">3</w:t>
      </w:r>
      <w:r>
        <w:rPr>
          <w:rFonts w:hint="eastAsia" w:ascii="仿宋" w:hAnsi="仿宋" w:eastAsia="仿宋" w:cs="仿宋"/>
          <w:highlight w:val="none"/>
          <w:shd w:val="clear" w:color="auto" w:fill="ffffff"/>
        </w:rPr>
        <w:t xml:space="preserve">。</w:t>
      </w:r>
      <w:r>
        <w:rPr>
          <w:rStyle w:val="1232"/>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highlight w:val="none"/>
          <w:shd w:val="clear" w:color="auto" w:fill="ffffff"/>
        </w:rPr>
        <w:t xml:space="preserve">的</w:t>
      </w:r>
      <w:r>
        <w:rPr>
          <w:rStyle w:val="1232"/>
          <w:rFonts w:hint="eastAsia" w:ascii="仿宋" w:hAnsi="仿宋" w:eastAsia="仿宋" w:cs="仿宋"/>
          <w:color w:val="auto"/>
          <w:highlight w:val="none"/>
          <w:u w:val="single"/>
          <w:shd w:val="clear" w:color="auto" w:fill="ffffff"/>
        </w:rPr>
        <w:t xml:space="preserve">（关键组件）</w:t>
      </w:r>
      <w:r>
        <w:rPr>
          <w:rStyle w:val="1232"/>
          <w:rFonts w:hint="eastAsia" w:ascii="仿宋" w:hAnsi="仿宋" w:eastAsia="仿宋" w:cs="仿宋"/>
          <w:color w:val="auto"/>
          <w:highlight w:val="none"/>
          <w:shd w:val="clear" w:color="auto" w:fill="ffffff"/>
          <w:vertAlign w:val="superscript"/>
        </w:rPr>
        <w:t xml:space="preserve">4</w:t>
      </w:r>
      <w:r>
        <w:rPr>
          <w:rFonts w:hint="eastAsia" w:ascii="仿宋" w:hAnsi="仿宋" w:eastAsia="仿宋" w:cs="仿宋"/>
          <w:highlight w:val="none"/>
          <w:shd w:val="clear" w:color="auto" w:fill="ffffff"/>
        </w:rPr>
        <w:t xml:space="preserve">在中国境内生产。</w:t>
      </w:r>
      <w:r>
        <w:rPr>
          <w:rStyle w:val="1232"/>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highlight w:val="none"/>
          <w:shd w:val="clear" w:color="auto" w:fill="ffffff"/>
        </w:rPr>
        <w:t xml:space="preserve">的</w:t>
      </w:r>
      <w:r>
        <w:rPr>
          <w:rStyle w:val="1232"/>
          <w:rFonts w:hint="eastAsia" w:ascii="仿宋" w:hAnsi="仿宋" w:eastAsia="仿宋" w:cs="仿宋"/>
          <w:color w:val="auto"/>
          <w:highlight w:val="none"/>
          <w:u w:val="single"/>
          <w:shd w:val="clear" w:color="auto" w:fill="ffffff"/>
        </w:rPr>
        <w:t xml:space="preserve">（关键工序）</w:t>
      </w:r>
      <w:r>
        <w:rPr>
          <w:rStyle w:val="1232"/>
          <w:rFonts w:hint="eastAsia" w:ascii="仿宋" w:hAnsi="仿宋" w:eastAsia="仿宋" w:cs="仿宋"/>
          <w:color w:val="auto"/>
          <w:highlight w:val="none"/>
          <w:shd w:val="clear" w:color="auto" w:fill="ffffff"/>
          <w:vertAlign w:val="superscript"/>
        </w:rPr>
        <w:t xml:space="preserve">5</w:t>
      </w:r>
      <w:r>
        <w:rPr>
          <w:rFonts w:hint="eastAsia" w:ascii="仿宋" w:hAnsi="仿宋" w:eastAsia="仿宋" w:cs="仿宋"/>
          <w:highlight w:val="none"/>
          <w:shd w:val="clear" w:color="auto" w:fill="ffffff"/>
        </w:rPr>
        <w:t xml:space="preserve">在中国境内完成。</w:t>
      </w:r>
      <w:r/>
    </w:p>
    <w:p>
      <w:pPr>
        <w:pStyle w:val="1222"/>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1522730</wp:posOffset>
                </wp:positionH>
                <wp:positionV relativeFrom="paragraph">
                  <wp:posOffset>647065</wp:posOffset>
                </wp:positionV>
                <wp:extent cx="821690" cy="102870"/>
                <wp:effectExtent l="635" t="4445" r="3175" b="6985"/>
                <wp:wrapNone/>
                <wp:docPr id="15" name="自选图形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19.9pt;mso-position-horizontal:absolute;mso-position-vertical-relative:text;margin-top:50.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371475</wp:posOffset>
                </wp:positionH>
                <wp:positionV relativeFrom="paragraph">
                  <wp:posOffset>611505</wp:posOffset>
                </wp:positionV>
                <wp:extent cx="908685" cy="140970"/>
                <wp:effectExtent l="635" t="4445" r="5080" b="6985"/>
                <wp:wrapNone/>
                <wp:docPr id="16" name="自选图形 1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9.2pt;mso-position-horizontal:absolute;mso-position-vertical-relative:text;margin-top:48.1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4174490</wp:posOffset>
                </wp:positionH>
                <wp:positionV relativeFrom="paragraph">
                  <wp:posOffset>339090</wp:posOffset>
                </wp:positionV>
                <wp:extent cx="669290" cy="115570"/>
                <wp:effectExtent l="635" t="4445" r="3175" b="6985"/>
                <wp:wrapNone/>
                <wp:docPr id="17" name="自选图形 15"/>
                <wp:cNvGraphicFramePr/>
                <a:graphic xmlns:a="http://schemas.openxmlformats.org/drawingml/2006/main">
                  <a:graphicData uri="http://schemas.microsoft.com/office/word/2010/wordprocessingShape">
                    <wps:wsp>
                      <wps:cNvPr id="0" name=""/>
                      <wps:cNvSpPr/>
                      <wps:spPr bwMode="auto">
                        <a:xfrm flipV="1">
                          <a:off x="0" y="0"/>
                          <a:ext cx="669290" cy="1155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328.7pt;mso-position-horizontal:absolute;mso-position-vertical-relative:text;margin-top:26.7pt;mso-position-vertical:absolute;width:52.7pt;height:9.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3023235</wp:posOffset>
                </wp:positionH>
                <wp:positionV relativeFrom="paragraph">
                  <wp:posOffset>334645</wp:posOffset>
                </wp:positionV>
                <wp:extent cx="849630" cy="120015"/>
                <wp:effectExtent l="635" t="4445" r="635" b="15240"/>
                <wp:wrapNone/>
                <wp:docPr id="18" name="自选图形 2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38.0pt;mso-position-horizontal:absolute;mso-position-vertical-relative:text;margin-top:26.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1911985</wp:posOffset>
                </wp:positionH>
                <wp:positionV relativeFrom="paragraph">
                  <wp:posOffset>328930</wp:posOffset>
                </wp:positionV>
                <wp:extent cx="843915" cy="125730"/>
                <wp:effectExtent l="635" t="4445" r="6350" b="9525"/>
                <wp:wrapNone/>
                <wp:docPr id="19" name="自选图形 2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150.5pt;mso-position-horizontal:absolute;mso-position-vertical-relative:text;margin-top:25.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4625975</wp:posOffset>
                </wp:positionH>
                <wp:positionV relativeFrom="paragraph">
                  <wp:posOffset>38100</wp:posOffset>
                </wp:positionV>
                <wp:extent cx="718185" cy="97790"/>
                <wp:effectExtent l="635" t="4445" r="5080" b="12065"/>
                <wp:wrapNone/>
                <wp:docPr id="20" name="自选图形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364.2pt;mso-position-horizontal:absolute;mso-position-vertical-relative:text;margin-top:3.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highlight w:val="none"/>
          <w:shd w:val="clear" w:color="auto" w:fill="ffffff"/>
        </w:rPr>
        <w:t xml:space="preserve">2.</w:t>
      </w:r>
      <w:r>
        <w:rPr>
          <w:rStyle w:val="1232"/>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highlight w:val="none"/>
          <w:shd w:val="clear" w:color="auto" w:fill="ffffff"/>
        </w:rPr>
        <w:t xml:space="preserve">，生产厂为</w:t>
      </w:r>
      <w:r>
        <w:rPr>
          <w:rStyle w:val="1232"/>
          <w:rFonts w:hint="eastAsia" w:ascii="仿宋" w:hAnsi="仿宋" w:eastAsia="仿宋" w:cs="仿宋"/>
          <w:color w:val="auto"/>
          <w:highlight w:val="none"/>
          <w:u w:val="single"/>
          <w:shd w:val="clear" w:color="auto" w:fill="ffffff"/>
        </w:rPr>
        <w:t xml:space="preserve">（厂名）</w:t>
      </w:r>
      <w:r>
        <w:rPr>
          <w:rFonts w:hint="eastAsia" w:ascii="仿宋" w:hAnsi="仿宋" w:eastAsia="仿宋" w:cs="仿宋"/>
          <w:highlight w:val="none"/>
          <w:shd w:val="clear" w:color="auto" w:fill="ffffff"/>
        </w:rPr>
        <w:t xml:space="preserve">，厂址为</w:t>
      </w:r>
      <w:r>
        <w:rPr>
          <w:rStyle w:val="1232"/>
          <w:rFonts w:hint="eastAsia" w:ascii="仿宋" w:hAnsi="仿宋" w:eastAsia="仿宋" w:cs="仿宋"/>
          <w:color w:val="auto"/>
          <w:highlight w:val="none"/>
          <w:u w:val="single"/>
          <w:shd w:val="clear" w:color="auto" w:fill="ffffff"/>
        </w:rPr>
        <w:t xml:space="preserve">（生产厂址）</w:t>
      </w:r>
      <w:r>
        <w:rPr>
          <w:rFonts w:hint="eastAsia" w:ascii="仿宋" w:hAnsi="仿宋" w:eastAsia="仿宋" w:cs="仿宋"/>
          <w:highlight w:val="none"/>
          <w:shd w:val="clear" w:color="auto" w:fill="ffffff"/>
        </w:rPr>
        <w:t xml:space="preserve">。</w:t>
      </w:r>
      <w:r>
        <w:rPr>
          <w:rStyle w:val="1232"/>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highlight w:val="none"/>
          <w:shd w:val="clear" w:color="auto" w:fill="ffffff"/>
        </w:rPr>
        <w:t xml:space="preserve">的中国境内生产的组件成本占比≥</w:t>
      </w:r>
      <w:r>
        <w:rPr>
          <w:rStyle w:val="1232"/>
          <w:rFonts w:hint="eastAsia" w:ascii="仿宋" w:hAnsi="仿宋" w:eastAsia="仿宋" w:cs="仿宋"/>
          <w:color w:val="auto"/>
          <w:highlight w:val="none"/>
          <w:u w:val="single"/>
          <w:shd w:val="clear" w:color="auto" w:fill="ffffff"/>
        </w:rPr>
        <w:t xml:space="preserve">（规定比例）</w:t>
      </w:r>
      <w:r>
        <w:rPr>
          <w:rFonts w:hint="eastAsia" w:ascii="仿宋" w:hAnsi="仿宋" w:eastAsia="仿宋" w:cs="仿宋"/>
          <w:highlight w:val="none"/>
          <w:shd w:val="clear" w:color="auto" w:fill="ffffff"/>
        </w:rPr>
        <w:t xml:space="preserve">。</w:t>
      </w:r>
      <w:r>
        <w:rPr>
          <w:rStyle w:val="1232"/>
          <w:rFonts w:hint="eastAsia" w:ascii="仿宋" w:hAnsi="仿宋" w:eastAsia="仿宋" w:cs="仿宋"/>
          <w:color w:val="auto"/>
          <w:highlight w:val="none"/>
          <w:u w:val="single"/>
          <w:shd w:val="clear" w:color="auto" w:fill="ffffff"/>
        </w:rPr>
        <w:t xml:space="preserve">（产品名称2）</w:t>
      </w:r>
      <w:r>
        <w:rPr>
          <w:rFonts w:hint="eastAsia" w:ascii="仿宋" w:hAnsi="仿宋" w:eastAsia="仿宋" w:cs="仿宋"/>
          <w:highlight w:val="none"/>
          <w:shd w:val="clear" w:color="auto" w:fill="ffffff"/>
        </w:rPr>
        <w:t xml:space="preserve">的</w:t>
      </w:r>
      <w:r>
        <w:rPr>
          <w:rStyle w:val="1232"/>
          <w:rFonts w:hint="eastAsia" w:ascii="仿宋" w:hAnsi="仿宋" w:eastAsia="仿宋" w:cs="仿宋"/>
          <w:color w:val="auto"/>
          <w:highlight w:val="none"/>
          <w:u w:val="single"/>
          <w:shd w:val="clear" w:color="auto" w:fill="ffffff"/>
        </w:rPr>
        <w:t xml:space="preserve">（关键组件）</w:t>
      </w:r>
      <w:r>
        <w:rPr>
          <w:rFonts w:hint="eastAsia" w:ascii="仿宋" w:hAnsi="仿宋" w:eastAsia="仿宋" w:cs="仿宋"/>
          <w:highlight w:val="none"/>
          <w:shd w:val="clear" w:color="auto" w:fill="ffffff"/>
        </w:rPr>
        <w:t xml:space="preserve">在中国境内生产。</w:t>
      </w:r>
      <w:r>
        <w:rPr>
          <w:rStyle w:val="1232"/>
          <w:rFonts w:hint="eastAsia" w:ascii="仿宋" w:hAnsi="仿宋" w:eastAsia="仿宋" w:cs="仿宋"/>
          <w:color w:val="auto"/>
          <w:highlight w:val="none"/>
          <w:u w:val="single"/>
          <w:shd w:val="clear" w:color="auto" w:fill="ffffff"/>
        </w:rPr>
        <w:t xml:space="preserve">（产品名称1）</w:t>
      </w:r>
      <w:r>
        <w:rPr>
          <w:rFonts w:hint="eastAsia" w:ascii="仿宋" w:hAnsi="仿宋" w:eastAsia="仿宋" w:cs="仿宋"/>
          <w:highlight w:val="none"/>
          <w:shd w:val="clear" w:color="auto" w:fill="ffffff"/>
        </w:rPr>
        <w:t xml:space="preserve">的</w:t>
      </w:r>
      <w:r>
        <w:rPr>
          <w:rStyle w:val="1232"/>
          <w:rFonts w:hint="eastAsia" w:ascii="仿宋" w:hAnsi="仿宋" w:eastAsia="仿宋" w:cs="仿宋"/>
          <w:color w:val="auto"/>
          <w:highlight w:val="none"/>
          <w:u w:val="single"/>
          <w:shd w:val="clear" w:color="auto" w:fill="ffffff"/>
        </w:rPr>
        <w:t xml:space="preserve">（关键工序）</w:t>
      </w:r>
      <w:r>
        <w:rPr>
          <w:rFonts w:hint="eastAsia" w:ascii="仿宋" w:hAnsi="仿宋" w:eastAsia="仿宋" w:cs="仿宋"/>
          <w:highlight w:val="none"/>
          <w:shd w:val="clear" w:color="auto" w:fill="ffffff"/>
        </w:rPr>
        <w:t xml:space="preserve">在中国境内完成。</w:t>
      </w:r>
      <w:r/>
    </w:p>
    <w:p>
      <w:pPr>
        <w:pStyle w:val="1222"/>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w:t>
      </w:r>
      <w:r/>
    </w:p>
    <w:p>
      <w:pPr>
        <w:pStyle w:val="1222"/>
        <w:ind w:firstLine="42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本公司（单位）对上述声明内容的真实性负责。如有虚假，愿承担相应法律责任。</w:t>
      </w:r>
      <w:r/>
    </w:p>
    <w:p>
      <w:pPr>
        <w:pStyle w:val="1222"/>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rPr>
      </w:r>
      <w:r/>
    </w:p>
    <w:p>
      <w:pPr>
        <w:pStyle w:val="1222"/>
        <w:ind w:right="480" w:firstLine="4680"/>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公司（单位）名称（盖章）：　        </w:t>
      </w:r>
      <w:r/>
    </w:p>
    <w:p>
      <w:pPr>
        <w:pStyle w:val="1222"/>
        <w:jc w:val="center"/>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                                日期：　   年　  月　  日         </w:t>
      </w:r>
      <w:r/>
    </w:p>
    <w:p>
      <w:pPr>
        <w:pStyle w:val="1222"/>
        <w:spacing w:before="30" w:beforeAutospacing="0" w:after="30" w:afterAutospacing="0" w:line="360" w:lineRule="auto"/>
        <w:rPr>
          <w:rFonts w:hint="eastAsia" w:ascii="仿宋" w:hAnsi="仿宋" w:eastAsia="仿宋" w:cs="仿宋"/>
          <w:highlight w:val="none"/>
        </w:rPr>
      </w:pPr>
      <w:r>
        <w:rPr>
          <w:rFonts w:hint="eastAsia" w:ascii="仿宋" w:hAnsi="仿宋" w:eastAsia="仿宋" w:cs="仿宋"/>
          <w:highlight w:val="none"/>
          <w:shd w:val="clear" w:color="auto" w:fill="ffffff"/>
        </w:rPr>
        <w:t xml:space="preserve">__________________</w:t>
      </w:r>
      <w:r/>
    </w:p>
    <w:p>
      <w:pPr>
        <w:pStyle w:val="1222"/>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1.产品如有型号，请在“产品名称”栏一并填写。</w:t>
      </w:r>
      <w:r/>
    </w:p>
    <w:p>
      <w:pPr>
        <w:pStyle w:val="1222"/>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2.生产厂名与厂址应与生产厂营业执照载明的相关信息保持一致。</w:t>
      </w:r>
      <w:r/>
    </w:p>
    <w:p>
      <w:pPr>
        <w:pStyle w:val="1222"/>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3.该产品的中国境内生产的组件成本占比相关要求实施前，“规定比例”栏可不填，下同。</w:t>
      </w:r>
      <w:r/>
    </w:p>
    <w:p>
      <w:pPr>
        <w:pStyle w:val="1222"/>
        <w:spacing w:before="30" w:beforeAutospacing="0" w:after="30" w:afterAutospacing="0" w:line="360" w:lineRule="auto"/>
        <w:rPr>
          <w:rFonts w:hint="eastAsia" w:ascii="仿宋" w:hAnsi="仿宋" w:eastAsia="仿宋" w:cs="仿宋"/>
          <w:sz w:val="22"/>
          <w:highlight w:val="none"/>
        </w:rPr>
      </w:pPr>
      <w:r>
        <w:rPr>
          <w:rFonts w:hint="eastAsia" w:ascii="仿宋" w:hAnsi="仿宋" w:eastAsia="仿宋" w:cs="仿宋"/>
          <w:sz w:val="22"/>
          <w:highlight w:val="none"/>
          <w:shd w:val="clear" w:color="auto" w:fill="ffffff"/>
        </w:rPr>
        <w:t xml:space="preserve">4.该产品的关键组件要求实施前，“关键组件”栏可不填，下同。</w:t>
      </w:r>
      <w:r/>
    </w:p>
    <w:p>
      <w:pPr>
        <w:pStyle w:val="1222"/>
        <w:spacing w:before="30" w:beforeAutospacing="0" w:after="30" w:afterAutospacing="0" w:line="360" w:lineRule="auto"/>
        <w:rPr>
          <w:rFonts w:hint="eastAsia" w:ascii="仿宋" w:hAnsi="仿宋" w:eastAsia="仿宋" w:cs="仿宋"/>
          <w:sz w:val="22"/>
          <w:highlight w:val="none"/>
          <w:shd w:val="clear" w:color="auto" w:fill="ffffff"/>
        </w:rPr>
      </w:pPr>
      <w:r>
        <w:rPr>
          <w:rFonts w:hint="eastAsia" w:ascii="仿宋" w:hAnsi="仿宋" w:eastAsia="仿宋" w:cs="仿宋"/>
          <w:sz w:val="22"/>
          <w:highlight w:val="none"/>
          <w:shd w:val="clear" w:color="auto" w:fill="ffffff"/>
        </w:rPr>
        <w:t xml:space="preserve">5.该产品的关键工序要求实施前，“关键工序”栏可不填，下同。</w:t>
      </w:r>
      <w:r/>
    </w:p>
    <w:p>
      <w:pPr>
        <w:spacing w:line="360" w:lineRule="auto"/>
        <w:rPr>
          <w:rFonts w:hint="eastAsia" w:ascii="仿宋" w:hAnsi="仿宋" w:eastAsia="仿宋" w:cs="仿宋"/>
          <w:sz w:val="24"/>
          <w:szCs w:val="20"/>
          <w:highlight w:val="none"/>
        </w:rPr>
        <w:outlineLvl w:val="2"/>
      </w:pPr>
      <w:r>
        <w:rPr>
          <w:rFonts w:hint="eastAsia" w:ascii="仿宋" w:hAnsi="仿宋" w:eastAsia="仿宋" w:cs="仿宋"/>
          <w:sz w:val="22"/>
          <w:highlight w:val="none"/>
          <w:shd w:val="clear" w:color="auto" w:fill="ffffff"/>
        </w:rPr>
        <w:t xml:space="preserve">6.用斜线划除的地方无需填写。</w:t>
      </w:r>
      <w:r>
        <w:rPr>
          <w:rFonts w:hint="eastAsia" w:ascii="仿宋" w:hAnsi="仿宋" w:eastAsia="仿宋" w:cs="仿宋"/>
          <w:sz w:val="24"/>
          <w:szCs w:val="20"/>
          <w:highlight w:val="none"/>
        </w:rPr>
        <w:br w:type="page" w:clear="all"/>
      </w:r>
      <w:r>
        <w:rPr>
          <w:rFonts w:hint="eastAsia" w:ascii="仿宋" w:hAnsi="仿宋" w:eastAsia="仿宋" w:cs="仿宋"/>
          <w:sz w:val="24"/>
          <w:szCs w:val="20"/>
          <w:highlight w:val="none"/>
        </w:rPr>
        <w:t xml:space="preserve">11招标文件要求提供或供应商认为应附的其他材料</w:t>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pStyle w:val="1226"/>
        <w:ind w:firstLine="48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1226"/>
        <w:ind w:firstLine="480"/>
        <w:rPr>
          <w:rFonts w:hint="eastAsia" w:ascii="仿宋" w:hAnsi="仿宋" w:eastAsia="仿宋" w:cs="仿宋"/>
          <w:highlight w:val="none"/>
        </w:rPr>
      </w:pPr>
      <w:r>
        <w:rPr>
          <w:rFonts w:hint="eastAsia" w:ascii="仿宋" w:hAnsi="仿宋" w:eastAsia="仿宋" w:cs="仿宋"/>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left"/>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sectPr>
      <w:headerReference w:type="default" r:id="rId16"/>
      <w:headerReference w:type="even" r:id="rId17"/>
      <w:headerReference w:type="first" r:id="rId18"/>
      <w:footerReference w:type="default" r:id="rId27"/>
      <w:footerReference w:type="even" r:id="rId28"/>
      <w:footerReference w:type="first" r:id="rId29"/>
      <w:footnotePr/>
      <w:endnotePr/>
      <w:type w:val="nextPage"/>
      <w:pgSz w:w="11907" w:h="16840" w:orient="portrait"/>
      <w:pgMar w:top="1440" w:right="1134" w:bottom="1440" w:left="1134"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简体">
    <w:panose1 w:val="020B0503020202020204"/>
  </w:font>
  <w:font w:name="MingLiU">
    <w:panose1 w:val="02020500000000000000"/>
  </w:font>
  <w:font w:name="Cambria">
    <w:panose1 w:val="02040503050406030204"/>
  </w:font>
  <w:font w:name="仿宋">
    <w:panose1 w:val="02010609060101010101"/>
  </w:font>
  <w:font w:name="等线">
    <w:panose1 w:val="0201060003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360"/>
      <w:rPr>
        <w:rStyle w:val="1230"/>
      </w:rPr>
    </w:pPr>
    <w:r/>
    <w:r/>
  </w:p>
  <w:p>
    <w:pPr>
      <w:pStyle w:val="1213"/>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Style w:val="1230"/>
      </w:rPr>
      <w:framePr w:wrap="around" w:vAnchor="text" w:hAnchor="margin" w:xAlign="center" w:y="1"/>
    </w:pPr>
    <w:r>
      <w:fldChar w:fldCharType="begin"/>
    </w:r>
    <w:r>
      <w:rPr>
        <w:rStyle w:val="1230"/>
      </w:rPr>
      <w:instrText xml:space="preserve">PAGE  </w:instrText>
    </w:r>
    <w:r>
      <w:fldChar w:fldCharType="end"/>
    </w:r>
    <w:r/>
  </w:p>
  <w:p>
    <w:pPr>
      <w:pStyle w:val="12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pPr>
    <w:r/>
    <w:r/>
  </w:p>
  <w:p>
    <w:pPr>
      <w:pStyle w:val="1213"/>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ind w:right="360"/>
      <w:jc w:val="right"/>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Style w:val="1230"/>
      </w:rPr>
      <w:framePr w:wrap="around" w:vAnchor="text" w:hAnchor="margin" w:xAlign="right" w:y="1"/>
    </w:pPr>
    <w:r>
      <w:rPr>
        <w:rStyle w:val="1230"/>
      </w:rPr>
      <w:fldChar w:fldCharType="begin"/>
    </w:r>
    <w:r>
      <w:rPr>
        <w:rStyle w:val="1230"/>
      </w:rPr>
      <w:instrText xml:space="preserve">PAGE  </w:instrText>
    </w:r>
    <w:r>
      <w:rPr>
        <w:rStyle w:val="1230"/>
      </w:rPr>
      <w:fldChar w:fldCharType="end"/>
    </w:r>
    <w:r/>
  </w:p>
  <w:p>
    <w:pPr>
      <w:pStyle w:val="1213"/>
      <w:ind w:right="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21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rPr>
        <w:rStyle w:val="1230"/>
      </w:rPr>
      <w:framePr w:wrap="around" w:vAnchor="text" w:hAnchor="margin" w:xAlign="right" w:y="1"/>
    </w:pPr>
    <w:r>
      <w:rPr>
        <w:rStyle w:val="1230"/>
      </w:rPr>
      <w:fldChar w:fldCharType="begin"/>
    </w:r>
    <w:r>
      <w:rPr>
        <w:rStyle w:val="1230"/>
      </w:rPr>
      <w:instrText xml:space="preserve">PAGE  </w:instrText>
    </w:r>
    <w:r>
      <w:rPr>
        <w:rStyle w:val="1230"/>
      </w:rPr>
      <w:fldChar w:fldCharType="end"/>
    </w:r>
    <w:r/>
  </w:p>
  <w:p>
    <w:pPr>
      <w:pStyle w:val="1213"/>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rPr>
        <w:sz w:val="21"/>
        <w:szCs w:val="21"/>
      </w:rPr>
    </w:pPr>
    <w:r>
      <mc:AlternateContent>
        <mc:Choice Requires="wpg">
          <w:drawing>
            <wp:inline xmlns:wp="http://schemas.openxmlformats.org/drawingml/2006/wordprocessingDrawing" distT="0" distB="0" distL="0" distR="0">
              <wp:extent cx="1508760" cy="243840"/>
              <wp:effectExtent l="0" t="0" r="254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sz w:val="21"/>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pPr>
    <w:r>
      <mc:AlternateContent>
        <mc:Choice Requires="wpg">
          <w:drawing>
            <wp:inline xmlns:wp="http://schemas.openxmlformats.org/drawingml/2006/wordprocessingDrawing" distT="0" distB="0" distL="0" distR="0">
              <wp:extent cx="1508760" cy="243840"/>
              <wp:effectExtent l="0" t="0" r="2540"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ascii="仿宋" w:hAnsi="仿宋" w:eastAsia="仿宋"/>
        <w:sz w:val="21"/>
        <w:szCs w:val="21"/>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rPr>
        <w:sz w:val="21"/>
        <w:szCs w:val="21"/>
      </w:rPr>
    </w:pPr>
    <w:r>
      <mc:AlternateContent>
        <mc:Choice Requires="wpg">
          <w:drawing>
            <wp:inline xmlns:wp="http://schemas.openxmlformats.org/drawingml/2006/wordprocessingDrawing" distT="0" distB="0" distL="0" distR="0">
              <wp:extent cx="1508760" cy="243840"/>
              <wp:effectExtent l="0" t="0" r="2540" b="1016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sz w:val="21"/>
        <w:szCs w:val="21"/>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pPr>
    <w:r>
      <mc:AlternateContent>
        <mc:Choice Requires="wpg">
          <w:drawing>
            <wp:inline xmlns:wp="http://schemas.openxmlformats.org/drawingml/2006/wordprocessingDrawing" distT="0" distB="0" distL="0" distR="0">
              <wp:extent cx="1508760" cy="243840"/>
              <wp:effectExtent l="0" t="0" r="2540" b="1016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pPr>
    <w:r>
      <mc:AlternateContent>
        <mc:Choice Requires="wpg">
          <w:drawing>
            <wp:inline xmlns:wp="http://schemas.openxmlformats.org/drawingml/2006/wordprocessingDrawing" distT="0" distB="0" distL="0" distR="0">
              <wp:extent cx="1508760" cy="243840"/>
              <wp:effectExtent l="0" t="0" r="2540" b="1016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8.8pt;height:19.2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仿宋" w:hAnsi="仿宋" w:eastAsia="仿宋" w:cs="仿宋"/>
        <w:sz w:val="21"/>
        <w:szCs w:val="21"/>
      </w:rPr>
      <w:t xml:space="preserve">公开招标文件</w:t>
    </w:r>
    <w:r>
      <w:rPr>
        <w:rFonts w:hint="eastAsia"/>
      </w:rPr>
      <w:t xml:space="preserve">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left"/>
      <w:rPr>
        <w:sz w:val="21"/>
        <w:szCs w:val="21"/>
      </w:rPr>
    </w:pPr>
    <w:r>
      <mc:AlternateContent>
        <mc:Choice Requires="wpg">
          <w:drawing>
            <wp:inline xmlns:wp="http://schemas.openxmlformats.org/drawingml/2006/wordprocessingDrawing" distT="0" distB="0" distL="0" distR="0">
              <wp:extent cx="1508760" cy="243840"/>
              <wp:effectExtent l="0" t="0" r="2540" b="1016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r/>
                    </pic:nvPicPr>
                    <pic:blipFill>
                      <a:blip r:embed="rId1"/>
                      <a:stretch/>
                    </pic:blipFill>
                    <pic:spPr bwMode="auto">
                      <a:xfrm>
                        <a:off x="0" y="0"/>
                        <a:ext cx="1508759" cy="243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rPr>
        <w:rFonts w:hint="eastAsia" w:ascii="仿宋" w:hAnsi="仿宋" w:eastAsia="仿宋" w:cs="仿宋"/>
      </w:rPr>
      <w:t xml:space="preserve">      </w:t>
    </w:r>
    <w:r>
      <w:rPr>
        <w:rFonts w:hint="eastAsia" w:ascii="仿宋" w:hAnsi="仿宋" w:eastAsia="仿宋" w:cs="仿宋"/>
        <w:sz w:val="21"/>
        <w:szCs w:val="21"/>
      </w:rPr>
      <w:t xml:space="preserve">公开招标文件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24"/>
        <w:szCs w:val="24"/>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30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37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34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9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3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3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3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5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31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3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30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01"/>
      <w:isLgl w:val="false"/>
      <w:suff w:val="tab"/>
      <w:lvlText w:val="%1"/>
      <w:lvlJc w:val="left"/>
      <w:pPr>
        <w:ind w:left="680" w:hanging="680"/>
      </w:pPr>
      <w:rPr>
        <w:rFonts w:hint="eastAsia" w:ascii="宋体" w:hAnsi="宋体" w:eastAsia="宋体"/>
      </w:rPr>
    </w:lvl>
    <w:lvl w:ilvl="1">
      <w:start w:val="1"/>
      <w:numFmt w:val="decimal"/>
      <w:pStyle w:val="1402"/>
      <w:isLgl w:val="false"/>
      <w:suff w:val="tab"/>
      <w:lvlText w:val="%1.%2"/>
      <w:lvlJc w:val="left"/>
      <w:pPr>
        <w:ind w:left="851" w:hanging="851"/>
      </w:pPr>
      <w:rPr>
        <w:rFonts w:hint="eastAsia" w:ascii="宋体" w:hAnsi="宋体" w:eastAsia="宋体"/>
        <w:color w:val="auto"/>
      </w:rPr>
    </w:lvl>
    <w:lvl w:ilvl="2">
      <w:start w:val="1"/>
      <w:numFmt w:val="decimal"/>
      <w:pStyle w:val="140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32">
    <w:name w:val="Heading 1 Char"/>
    <w:basedOn w:val="1194"/>
    <w:link w:val="1185"/>
    <w:uiPriority w:val="9"/>
    <w:rPr>
      <w:rFonts w:ascii="Arial" w:hAnsi="Arial" w:eastAsia="Arial" w:cs="Arial"/>
      <w:sz w:val="40"/>
      <w:szCs w:val="40"/>
    </w:rPr>
  </w:style>
  <w:style w:type="character" w:styleId="1033">
    <w:name w:val="Heading 2 Char"/>
    <w:basedOn w:val="1194"/>
    <w:link w:val="1186"/>
    <w:uiPriority w:val="9"/>
    <w:rPr>
      <w:rFonts w:ascii="Arial" w:hAnsi="Arial" w:eastAsia="Arial" w:cs="Arial"/>
      <w:sz w:val="34"/>
    </w:rPr>
  </w:style>
  <w:style w:type="character" w:styleId="1034">
    <w:name w:val="Heading 3 Char"/>
    <w:basedOn w:val="1194"/>
    <w:link w:val="1187"/>
    <w:uiPriority w:val="9"/>
    <w:rPr>
      <w:rFonts w:ascii="Arial" w:hAnsi="Arial" w:eastAsia="Arial" w:cs="Arial"/>
      <w:sz w:val="30"/>
      <w:szCs w:val="30"/>
    </w:rPr>
  </w:style>
  <w:style w:type="character" w:styleId="1035">
    <w:name w:val="Heading 4 Char"/>
    <w:basedOn w:val="1194"/>
    <w:link w:val="1188"/>
    <w:uiPriority w:val="9"/>
    <w:rPr>
      <w:rFonts w:ascii="Arial" w:hAnsi="Arial" w:eastAsia="Arial" w:cs="Arial"/>
      <w:b/>
      <w:bCs/>
      <w:sz w:val="26"/>
      <w:szCs w:val="26"/>
    </w:rPr>
  </w:style>
  <w:style w:type="character" w:styleId="1036">
    <w:name w:val="Heading 5 Char"/>
    <w:basedOn w:val="1194"/>
    <w:link w:val="1189"/>
    <w:uiPriority w:val="9"/>
    <w:rPr>
      <w:rFonts w:ascii="Arial" w:hAnsi="Arial" w:eastAsia="Arial" w:cs="Arial"/>
      <w:b/>
      <w:bCs/>
      <w:sz w:val="24"/>
      <w:szCs w:val="24"/>
    </w:rPr>
  </w:style>
  <w:style w:type="character" w:styleId="1037">
    <w:name w:val="Heading 6 Char"/>
    <w:basedOn w:val="1194"/>
    <w:link w:val="1190"/>
    <w:uiPriority w:val="9"/>
    <w:rPr>
      <w:rFonts w:ascii="Arial" w:hAnsi="Arial" w:eastAsia="Arial" w:cs="Arial"/>
      <w:b/>
      <w:bCs/>
      <w:sz w:val="22"/>
      <w:szCs w:val="22"/>
    </w:rPr>
  </w:style>
  <w:style w:type="character" w:styleId="1038">
    <w:name w:val="Heading 7 Char"/>
    <w:basedOn w:val="1194"/>
    <w:link w:val="1191"/>
    <w:uiPriority w:val="9"/>
    <w:rPr>
      <w:rFonts w:ascii="Arial" w:hAnsi="Arial" w:eastAsia="Arial" w:cs="Arial"/>
      <w:b/>
      <w:bCs/>
      <w:i/>
      <w:iCs/>
      <w:sz w:val="22"/>
      <w:szCs w:val="22"/>
    </w:rPr>
  </w:style>
  <w:style w:type="character" w:styleId="1039">
    <w:name w:val="Heading 8 Char"/>
    <w:basedOn w:val="1194"/>
    <w:link w:val="1192"/>
    <w:uiPriority w:val="9"/>
    <w:rPr>
      <w:rFonts w:ascii="Arial" w:hAnsi="Arial" w:eastAsia="Arial" w:cs="Arial"/>
      <w:i/>
      <w:iCs/>
      <w:sz w:val="22"/>
      <w:szCs w:val="22"/>
    </w:rPr>
  </w:style>
  <w:style w:type="character" w:styleId="1040">
    <w:name w:val="Heading 9 Char"/>
    <w:basedOn w:val="1194"/>
    <w:link w:val="1193"/>
    <w:uiPriority w:val="9"/>
    <w:rPr>
      <w:rFonts w:ascii="Arial" w:hAnsi="Arial" w:eastAsia="Arial" w:cs="Arial"/>
      <w:i/>
      <w:iCs/>
      <w:sz w:val="21"/>
      <w:szCs w:val="21"/>
    </w:rPr>
  </w:style>
  <w:style w:type="character" w:styleId="1041">
    <w:name w:val="Title Char"/>
    <w:basedOn w:val="1194"/>
    <w:link w:val="1224"/>
    <w:uiPriority w:val="10"/>
    <w:rPr>
      <w:sz w:val="48"/>
      <w:szCs w:val="48"/>
    </w:rPr>
  </w:style>
  <w:style w:type="paragraph" w:styleId="1042">
    <w:name w:val="Subtitle"/>
    <w:basedOn w:val="1184"/>
    <w:next w:val="1184"/>
    <w:link w:val="1043"/>
    <w:uiPriority w:val="11"/>
    <w:qFormat/>
    <w:pPr>
      <w:spacing w:before="200" w:after="200"/>
    </w:pPr>
    <w:rPr>
      <w:sz w:val="24"/>
      <w:szCs w:val="24"/>
    </w:rPr>
  </w:style>
  <w:style w:type="character" w:styleId="1043">
    <w:name w:val="Subtitle Char"/>
    <w:basedOn w:val="1194"/>
    <w:link w:val="1042"/>
    <w:uiPriority w:val="11"/>
    <w:rPr>
      <w:sz w:val="24"/>
      <w:szCs w:val="24"/>
    </w:rPr>
  </w:style>
  <w:style w:type="paragraph" w:styleId="1044">
    <w:name w:val="Quote"/>
    <w:basedOn w:val="1184"/>
    <w:next w:val="1184"/>
    <w:link w:val="1045"/>
    <w:uiPriority w:val="29"/>
    <w:qFormat/>
    <w:pPr>
      <w:ind w:left="720" w:right="720"/>
    </w:pPr>
    <w:rPr>
      <w:i/>
    </w:rPr>
  </w:style>
  <w:style w:type="character" w:styleId="1045">
    <w:name w:val="Quote Char"/>
    <w:link w:val="1044"/>
    <w:uiPriority w:val="29"/>
    <w:rPr>
      <w:i/>
    </w:rPr>
  </w:style>
  <w:style w:type="paragraph" w:styleId="1046">
    <w:name w:val="Intense Quote"/>
    <w:basedOn w:val="1184"/>
    <w:next w:val="1184"/>
    <w:link w:val="10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name w:val="Intense Quote Char"/>
    <w:link w:val="1046"/>
    <w:uiPriority w:val="30"/>
    <w:rPr>
      <w:i/>
    </w:rPr>
  </w:style>
  <w:style w:type="character" w:styleId="1048">
    <w:name w:val="Header Char"/>
    <w:basedOn w:val="1194"/>
    <w:link w:val="1214"/>
    <w:uiPriority w:val="99"/>
  </w:style>
  <w:style w:type="character" w:styleId="1049">
    <w:name w:val="Footer Char"/>
    <w:basedOn w:val="1194"/>
    <w:link w:val="1213"/>
    <w:uiPriority w:val="99"/>
  </w:style>
  <w:style w:type="character" w:styleId="1050">
    <w:name w:val="Caption Char"/>
    <w:basedOn w:val="1198"/>
    <w:link w:val="1213"/>
    <w:uiPriority w:val="99"/>
  </w:style>
  <w:style w:type="table" w:styleId="1051">
    <w:name w:val="Table Grid Light"/>
    <w:basedOn w:val="11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2">
    <w:name w:val="Plain Table 1"/>
    <w:basedOn w:val="11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2"/>
    <w:basedOn w:val="11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4">
    <w:name w:val="Plain Table 3"/>
    <w:basedOn w:val="11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5">
    <w:name w:val="Plain Table 4"/>
    <w:basedOn w:val="11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6">
    <w:name w:val="Plain Table 5"/>
    <w:basedOn w:val="11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7">
    <w:name w:val="Grid Table 1 Light"/>
    <w:basedOn w:val="11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8">
    <w:name w:val="Grid Table 1 Light - Accent 1"/>
    <w:basedOn w:val="11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9">
    <w:name w:val="Grid Table 1 Light - Accent 2"/>
    <w:basedOn w:val="11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0">
    <w:name w:val="Grid Table 1 Light - Accent 3"/>
    <w:basedOn w:val="11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1">
    <w:name w:val="Grid Table 1 Light - Accent 4"/>
    <w:basedOn w:val="11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2">
    <w:name w:val="Grid Table 1 Light - Accent 5"/>
    <w:basedOn w:val="11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3">
    <w:name w:val="Grid Table 1 Light - Accent 6"/>
    <w:basedOn w:val="11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4">
    <w:name w:val="Grid Table 2"/>
    <w:basedOn w:val="11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5">
    <w:name w:val="Grid Table 2 - Accent 1"/>
    <w:basedOn w:val="11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6">
    <w:name w:val="Grid Table 2 - Accent 2"/>
    <w:basedOn w:val="11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7">
    <w:name w:val="Grid Table 2 - Accent 3"/>
    <w:basedOn w:val="11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8">
    <w:name w:val="Grid Table 2 - Accent 4"/>
    <w:basedOn w:val="11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9">
    <w:name w:val="Grid Table 2 - Accent 5"/>
    <w:basedOn w:val="11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0">
    <w:name w:val="Grid Table 2 - Accent 6"/>
    <w:basedOn w:val="11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1">
    <w:name w:val="Grid Table 3"/>
    <w:basedOn w:val="11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1"/>
    <w:basedOn w:val="11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2"/>
    <w:basedOn w:val="11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3"/>
    <w:basedOn w:val="11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4"/>
    <w:basedOn w:val="11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5"/>
    <w:basedOn w:val="11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6"/>
    <w:basedOn w:val="11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4"/>
    <w:basedOn w:val="11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name w:val="Grid Table 4 - Accent 1"/>
    <w:basedOn w:val="11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0">
    <w:name w:val="Grid Table 4 - Accent 2"/>
    <w:basedOn w:val="11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1">
    <w:name w:val="Grid Table 4 - Accent 3"/>
    <w:basedOn w:val="11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2">
    <w:name w:val="Grid Table 4 - Accent 4"/>
    <w:basedOn w:val="11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3">
    <w:name w:val="Grid Table 4 - Accent 5"/>
    <w:basedOn w:val="11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4">
    <w:name w:val="Grid Table 4 - Accent 6"/>
    <w:basedOn w:val="11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5">
    <w:name w:val="Grid Table 5 Dark"/>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6">
    <w:name w:val="Grid Table 5 Dark- Accent 1"/>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7">
    <w:name w:val="Grid Table 5 Dark - Accent 2"/>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8">
    <w:name w:val="Grid Table 5 Dark - Accent 3"/>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9">
    <w:name w:val="Grid Table 5 Dark- Accent 4"/>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90">
    <w:name w:val="Grid Table 5 Dark - Accent 5"/>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91">
    <w:name w:val="Grid Table 5 Dark - Accent 6"/>
    <w:basedOn w:val="11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92">
    <w:name w:val="Grid Table 6 Colorful"/>
    <w:basedOn w:val="11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3">
    <w:name w:val="Grid Table 6 Colorful - Accent 1"/>
    <w:basedOn w:val="11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4">
    <w:name w:val="Grid Table 6 Colorful - Accent 2"/>
    <w:basedOn w:val="11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5">
    <w:name w:val="Grid Table 6 Colorful - Accent 3"/>
    <w:basedOn w:val="11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6">
    <w:name w:val="Grid Table 6 Colorful - Accent 4"/>
    <w:basedOn w:val="11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7">
    <w:name w:val="Grid Table 6 Colorful - Accent 5"/>
    <w:basedOn w:val="11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8">
    <w:name w:val="Grid Table 6 Colorful - Accent 6"/>
    <w:basedOn w:val="11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9">
    <w:name w:val="Grid Table 7 Colorful"/>
    <w:basedOn w:val="11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0">
    <w:name w:val="Grid Table 7 Colorful - Accent 1"/>
    <w:basedOn w:val="11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1">
    <w:name w:val="Grid Table 7 Colorful - Accent 2"/>
    <w:basedOn w:val="11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2">
    <w:name w:val="Grid Table 7 Colorful - Accent 3"/>
    <w:basedOn w:val="11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3">
    <w:name w:val="Grid Table 7 Colorful - Accent 4"/>
    <w:basedOn w:val="11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4">
    <w:name w:val="Grid Table 7 Colorful - Accent 5"/>
    <w:basedOn w:val="11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5">
    <w:name w:val="Grid Table 7 Colorful - Accent 6"/>
    <w:basedOn w:val="11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6">
    <w:name w:val="List Table 1 Light"/>
    <w:basedOn w:val="11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7">
    <w:name w:val="List Table 1 Light - Accent 1"/>
    <w:basedOn w:val="11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8">
    <w:name w:val="List Table 1 Light - Accent 2"/>
    <w:basedOn w:val="11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9">
    <w:name w:val="List Table 1 Light - Accent 3"/>
    <w:basedOn w:val="11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0">
    <w:name w:val="List Table 1 Light - Accent 4"/>
    <w:basedOn w:val="11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1">
    <w:name w:val="List Table 1 Light - Accent 5"/>
    <w:basedOn w:val="11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2">
    <w:name w:val="List Table 1 Light - Accent 6"/>
    <w:basedOn w:val="11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3">
    <w:name w:val="List Table 2"/>
    <w:basedOn w:val="11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4">
    <w:name w:val="List Table 2 - Accent 1"/>
    <w:basedOn w:val="11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5">
    <w:name w:val="List Table 2 - Accent 2"/>
    <w:basedOn w:val="11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6">
    <w:name w:val="List Table 2 - Accent 3"/>
    <w:basedOn w:val="11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7">
    <w:name w:val="List Table 2 - Accent 4"/>
    <w:basedOn w:val="11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8">
    <w:name w:val="List Table 2 - Accent 5"/>
    <w:basedOn w:val="11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9">
    <w:name w:val="List Table 2 - Accent 6"/>
    <w:basedOn w:val="11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0">
    <w:name w:val="List Table 3"/>
    <w:basedOn w:val="11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3 - Accent 1"/>
    <w:basedOn w:val="11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2">
    <w:name w:val="List Table 3 - Accent 2"/>
    <w:basedOn w:val="11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3">
    <w:name w:val="List Table 3 - Accent 3"/>
    <w:basedOn w:val="11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4">
    <w:name w:val="List Table 3 - Accent 4"/>
    <w:basedOn w:val="11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5">
    <w:name w:val="List Table 3 - Accent 5"/>
    <w:basedOn w:val="11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6">
    <w:name w:val="List Table 3 - Accent 6"/>
    <w:basedOn w:val="11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7">
    <w:name w:val="List Table 4"/>
    <w:basedOn w:val="11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8">
    <w:name w:val="List Table 4 - Accent 1"/>
    <w:basedOn w:val="11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9">
    <w:name w:val="List Table 4 - Accent 2"/>
    <w:basedOn w:val="11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30">
    <w:name w:val="List Table 4 - Accent 3"/>
    <w:basedOn w:val="11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31">
    <w:name w:val="List Table 4 - Accent 4"/>
    <w:basedOn w:val="11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32">
    <w:name w:val="List Table 4 - Accent 5"/>
    <w:basedOn w:val="11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3">
    <w:name w:val="List Table 4 - Accent 6"/>
    <w:basedOn w:val="11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4">
    <w:name w:val="List Table 5 Dark"/>
    <w:basedOn w:val="11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1"/>
    <w:basedOn w:val="11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2"/>
    <w:basedOn w:val="11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3"/>
    <w:basedOn w:val="11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4"/>
    <w:basedOn w:val="11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5"/>
    <w:basedOn w:val="11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6"/>
    <w:basedOn w:val="11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6 Colorful"/>
    <w:basedOn w:val="11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2">
    <w:name w:val="List Table 6 Colorful - Accent 1"/>
    <w:basedOn w:val="11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3">
    <w:name w:val="List Table 6 Colorful - Accent 2"/>
    <w:basedOn w:val="11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4">
    <w:name w:val="List Table 6 Colorful - Accent 3"/>
    <w:basedOn w:val="11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5">
    <w:name w:val="List Table 6 Colorful - Accent 4"/>
    <w:basedOn w:val="11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6">
    <w:name w:val="List Table 6 Colorful - Accent 5"/>
    <w:basedOn w:val="11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7">
    <w:name w:val="List Table 6 Colorful - Accent 6"/>
    <w:basedOn w:val="11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8">
    <w:name w:val="List Table 7 Colorful"/>
    <w:basedOn w:val="11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9">
    <w:name w:val="List Table 7 Colorful - Accent 1"/>
    <w:basedOn w:val="11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50">
    <w:name w:val="List Table 7 Colorful - Accent 2"/>
    <w:basedOn w:val="11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51">
    <w:name w:val="List Table 7 Colorful - Accent 3"/>
    <w:basedOn w:val="11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52">
    <w:name w:val="List Table 7 Colorful - Accent 4"/>
    <w:basedOn w:val="11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3">
    <w:name w:val="List Table 7 Colorful - Accent 5"/>
    <w:basedOn w:val="11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4">
    <w:name w:val="List Table 7 Colorful - Accent 6"/>
    <w:basedOn w:val="11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5">
    <w:name w:val="Lined - Accent"/>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Lined - Accent 1"/>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7">
    <w:name w:val="Lined - Accent 2"/>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8">
    <w:name w:val="Lined - Accent 3"/>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9">
    <w:name w:val="Lined - Accent 4"/>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0">
    <w:name w:val="Lined - Accent 5"/>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1">
    <w:name w:val="Lined - Accent 6"/>
    <w:basedOn w:val="11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2">
    <w:name w:val="Bordered &amp; Lined - Accent"/>
    <w:basedOn w:val="11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3">
    <w:name w:val="Bordered &amp; Lined - Accent 1"/>
    <w:basedOn w:val="11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4">
    <w:name w:val="Bordered &amp; Lined - Accent 2"/>
    <w:basedOn w:val="11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5">
    <w:name w:val="Bordered &amp; Lined - Accent 3"/>
    <w:basedOn w:val="11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6">
    <w:name w:val="Bordered &amp; Lined - Accent 4"/>
    <w:basedOn w:val="11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7">
    <w:name w:val="Bordered &amp; Lined - Accent 5"/>
    <w:basedOn w:val="11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8">
    <w:name w:val="Bordered &amp; Lined - Accent 6"/>
    <w:basedOn w:val="11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9">
    <w:name w:val="Bordered"/>
    <w:basedOn w:val="11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0">
    <w:name w:val="Bordered - Accent 1"/>
    <w:basedOn w:val="11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1">
    <w:name w:val="Bordered - Accent 2"/>
    <w:basedOn w:val="11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2">
    <w:name w:val="Bordered - Accent 3"/>
    <w:basedOn w:val="11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3">
    <w:name w:val="Bordered - Accent 4"/>
    <w:basedOn w:val="11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4">
    <w:name w:val="Bordered - Accent 5"/>
    <w:basedOn w:val="11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5">
    <w:name w:val="Bordered - Accent 6"/>
    <w:basedOn w:val="11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76">
    <w:name w:val="footnote text"/>
    <w:basedOn w:val="1184"/>
    <w:link w:val="1177"/>
    <w:uiPriority w:val="99"/>
    <w:semiHidden/>
    <w:unhideWhenUsed/>
    <w:pPr>
      <w:spacing w:after="40" w:line="240" w:lineRule="auto"/>
    </w:pPr>
    <w:rPr>
      <w:sz w:val="18"/>
    </w:rPr>
  </w:style>
  <w:style w:type="character" w:styleId="1177">
    <w:name w:val="Footnote Text Char"/>
    <w:link w:val="1176"/>
    <w:uiPriority w:val="99"/>
    <w:rPr>
      <w:sz w:val="18"/>
    </w:rPr>
  </w:style>
  <w:style w:type="character" w:styleId="1178">
    <w:name w:val="footnote reference"/>
    <w:basedOn w:val="1194"/>
    <w:uiPriority w:val="99"/>
    <w:unhideWhenUsed/>
    <w:rPr>
      <w:vertAlign w:val="superscript"/>
    </w:rPr>
  </w:style>
  <w:style w:type="paragraph" w:styleId="1179">
    <w:name w:val="endnote text"/>
    <w:basedOn w:val="1184"/>
    <w:link w:val="1180"/>
    <w:uiPriority w:val="99"/>
    <w:semiHidden/>
    <w:unhideWhenUsed/>
    <w:pPr>
      <w:spacing w:after="0" w:line="240" w:lineRule="auto"/>
    </w:pPr>
    <w:rPr>
      <w:sz w:val="20"/>
    </w:rPr>
  </w:style>
  <w:style w:type="character" w:styleId="1180">
    <w:name w:val="Endnote Text Char"/>
    <w:link w:val="1179"/>
    <w:uiPriority w:val="99"/>
    <w:rPr>
      <w:sz w:val="20"/>
    </w:rPr>
  </w:style>
  <w:style w:type="character" w:styleId="1181">
    <w:name w:val="endnote reference"/>
    <w:basedOn w:val="1194"/>
    <w:uiPriority w:val="99"/>
    <w:semiHidden/>
    <w:unhideWhenUsed/>
    <w:rPr>
      <w:vertAlign w:val="superscript"/>
    </w:rPr>
  </w:style>
  <w:style w:type="paragraph" w:styleId="1182">
    <w:name w:val="TOC Heading"/>
    <w:uiPriority w:val="39"/>
    <w:unhideWhenUsed/>
  </w:style>
  <w:style w:type="paragraph" w:styleId="1183">
    <w:name w:val="table of figures"/>
    <w:basedOn w:val="1184"/>
    <w:next w:val="1184"/>
    <w:uiPriority w:val="99"/>
    <w:unhideWhenUsed/>
    <w:pPr>
      <w:spacing w:after="0" w:afterAutospacing="0"/>
    </w:pPr>
  </w:style>
  <w:style w:type="paragraph" w:styleId="118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85">
    <w:name w:val="Heading 1"/>
    <w:basedOn w:val="1184"/>
    <w:next w:val="1184"/>
    <w:link w:val="1243"/>
    <w:uiPriority w:val="0"/>
    <w:qFormat/>
    <w:pPr>
      <w:jc w:val="center"/>
      <w:keepLines/>
      <w:keepNext/>
      <w:spacing w:before="240" w:after="120" w:line="300" w:lineRule="auto"/>
      <w:outlineLvl w:val="0"/>
    </w:pPr>
    <w:rPr>
      <w:rFonts w:ascii="宋体"/>
      <w:b/>
      <w:sz w:val="32"/>
      <w:szCs w:val="20"/>
    </w:rPr>
  </w:style>
  <w:style w:type="paragraph" w:styleId="1186">
    <w:name w:val="Heading 2"/>
    <w:basedOn w:val="1184"/>
    <w:next w:val="1184"/>
    <w:link w:val="1244"/>
    <w:uiPriority w:val="0"/>
    <w:qFormat/>
    <w:pPr>
      <w:jc w:val="center"/>
      <w:keepLines/>
      <w:keepNext/>
      <w:spacing w:before="120" w:line="300" w:lineRule="auto"/>
      <w:outlineLvl w:val="1"/>
    </w:pPr>
    <w:rPr>
      <w:rFonts w:ascii="Arial" w:hAnsi="Arial" w:eastAsia="黑体"/>
      <w:b/>
      <w:sz w:val="30"/>
      <w:szCs w:val="20"/>
    </w:rPr>
  </w:style>
  <w:style w:type="paragraph" w:styleId="1187">
    <w:name w:val="Heading 3"/>
    <w:basedOn w:val="1184"/>
    <w:next w:val="1184"/>
    <w:link w:val="1245"/>
    <w:uiPriority w:val="0"/>
    <w:qFormat/>
    <w:pPr>
      <w:jc w:val="left"/>
      <w:keepLines/>
      <w:keepNext/>
      <w:spacing w:before="360" w:after="120"/>
      <w:outlineLvl w:val="2"/>
    </w:pPr>
    <w:rPr>
      <w:rFonts w:ascii="宋体"/>
      <w:b/>
      <w:sz w:val="24"/>
      <w:szCs w:val="20"/>
      <w:u w:val="single"/>
    </w:rPr>
  </w:style>
  <w:style w:type="paragraph" w:styleId="1188">
    <w:name w:val="Heading 4"/>
    <w:basedOn w:val="1184"/>
    <w:next w:val="1184"/>
    <w:link w:val="1246"/>
    <w:uiPriority w:val="0"/>
    <w:qFormat/>
    <w:pPr>
      <w:keepLines/>
      <w:keepNext/>
      <w:spacing w:before="280" w:after="290" w:line="376" w:lineRule="atLeast"/>
      <w:outlineLvl w:val="3"/>
    </w:pPr>
    <w:rPr>
      <w:rFonts w:ascii="Arial" w:hAnsi="Arial" w:eastAsia="黑体"/>
      <w:b/>
      <w:sz w:val="28"/>
      <w:szCs w:val="20"/>
    </w:rPr>
  </w:style>
  <w:style w:type="paragraph" w:styleId="1189">
    <w:name w:val="Heading 5"/>
    <w:basedOn w:val="1184"/>
    <w:next w:val="1184"/>
    <w:link w:val="1247"/>
    <w:uiPriority w:val="0"/>
    <w:qFormat/>
    <w:pPr>
      <w:keepLines/>
      <w:keepNext/>
      <w:spacing w:before="280" w:after="290" w:line="376" w:lineRule="atLeast"/>
      <w:outlineLvl w:val="4"/>
    </w:pPr>
    <w:rPr>
      <w:b/>
      <w:sz w:val="28"/>
      <w:szCs w:val="20"/>
    </w:rPr>
  </w:style>
  <w:style w:type="paragraph" w:styleId="1190">
    <w:name w:val="Heading 6"/>
    <w:basedOn w:val="1184"/>
    <w:next w:val="1184"/>
    <w:link w:val="1248"/>
    <w:uiPriority w:val="0"/>
    <w:qFormat/>
    <w:pPr>
      <w:keepLines/>
      <w:keepNext/>
      <w:spacing w:before="240" w:after="64" w:line="320" w:lineRule="atLeast"/>
      <w:outlineLvl w:val="5"/>
    </w:pPr>
    <w:rPr>
      <w:rFonts w:ascii="Arial" w:hAnsi="Arial" w:eastAsia="黑体"/>
      <w:b/>
      <w:sz w:val="24"/>
      <w:szCs w:val="20"/>
    </w:rPr>
  </w:style>
  <w:style w:type="paragraph" w:styleId="1191">
    <w:name w:val="Heading 7"/>
    <w:basedOn w:val="1184"/>
    <w:next w:val="1184"/>
    <w:link w:val="1249"/>
    <w:uiPriority w:val="0"/>
    <w:qFormat/>
    <w:pPr>
      <w:keepLines/>
      <w:keepNext/>
      <w:spacing w:before="240" w:after="64" w:line="320" w:lineRule="atLeast"/>
      <w:outlineLvl w:val="6"/>
    </w:pPr>
    <w:rPr>
      <w:b/>
      <w:sz w:val="24"/>
      <w:szCs w:val="20"/>
    </w:rPr>
  </w:style>
  <w:style w:type="paragraph" w:styleId="1192">
    <w:name w:val="Heading 8"/>
    <w:basedOn w:val="1184"/>
    <w:next w:val="1184"/>
    <w:link w:val="1250"/>
    <w:uiPriority w:val="0"/>
    <w:qFormat/>
    <w:pPr>
      <w:keepLines/>
      <w:keepNext/>
      <w:spacing w:before="240" w:after="64" w:line="320" w:lineRule="atLeast"/>
      <w:outlineLvl w:val="7"/>
    </w:pPr>
    <w:rPr>
      <w:rFonts w:ascii="Arial" w:hAnsi="Arial" w:eastAsia="黑体"/>
      <w:sz w:val="24"/>
      <w:szCs w:val="20"/>
    </w:rPr>
  </w:style>
  <w:style w:type="paragraph" w:styleId="1193">
    <w:name w:val="Heading 9"/>
    <w:basedOn w:val="1184"/>
    <w:next w:val="1184"/>
    <w:link w:val="1251"/>
    <w:uiPriority w:val="0"/>
    <w:qFormat/>
    <w:pPr>
      <w:keepLines/>
      <w:keepNext/>
      <w:spacing w:before="240" w:after="64" w:line="320" w:lineRule="atLeast"/>
      <w:outlineLvl w:val="8"/>
    </w:pPr>
    <w:rPr>
      <w:rFonts w:ascii="Arial" w:hAnsi="Arial" w:eastAsia="黑体"/>
      <w:szCs w:val="20"/>
    </w:rPr>
  </w:style>
  <w:style w:type="character" w:styleId="1194" w:default="1">
    <w:name w:val="Default Paragraph Font"/>
    <w:uiPriority w:val="1"/>
    <w:semiHidden/>
    <w:unhideWhenUsed/>
    <w:qFormat/>
  </w:style>
  <w:style w:type="table" w:styleId="1195" w:default="1">
    <w:name w:val="Normal Table"/>
    <w:uiPriority w:val="99"/>
    <w:semiHidden/>
    <w:unhideWhenUsed/>
    <w:qFormat/>
    <w:tblPr>
      <w:tblCellMar>
        <w:left w:w="108" w:type="dxa"/>
        <w:top w:w="0" w:type="dxa"/>
        <w:right w:w="108" w:type="dxa"/>
        <w:bottom w:w="0" w:type="dxa"/>
      </w:tblCellMar>
    </w:tblPr>
  </w:style>
  <w:style w:type="paragraph" w:styleId="1196">
    <w:name w:val="toc 7"/>
    <w:basedOn w:val="1184"/>
    <w:next w:val="1184"/>
    <w:uiPriority w:val="0"/>
    <w:qFormat/>
    <w:pPr>
      <w:ind w:left="2520"/>
    </w:pPr>
  </w:style>
  <w:style w:type="paragraph" w:styleId="1197">
    <w:name w:val="Normal Indent"/>
    <w:basedOn w:val="1184"/>
    <w:link w:val="1252"/>
    <w:uiPriority w:val="0"/>
    <w:qFormat/>
    <w:pPr>
      <w:ind w:firstLine="420"/>
      <w:jc w:val="left"/>
    </w:pPr>
    <w:rPr>
      <w:rFonts w:ascii="宋体"/>
      <w:sz w:val="24"/>
    </w:rPr>
  </w:style>
  <w:style w:type="paragraph" w:styleId="1198">
    <w:name w:val="Caption"/>
    <w:basedOn w:val="1184"/>
    <w:next w:val="1184"/>
    <w:uiPriority w:val="0"/>
    <w:qFormat/>
    <w:pPr>
      <w:spacing w:line="480" w:lineRule="auto"/>
    </w:pPr>
    <w:rPr>
      <w:rFonts w:ascii="华文中宋" w:hAnsi="华文中宋" w:eastAsia="华文中宋"/>
      <w:sz w:val="36"/>
      <w:szCs w:val="20"/>
    </w:rPr>
  </w:style>
  <w:style w:type="paragraph" w:styleId="1199">
    <w:name w:val="Document Map"/>
    <w:basedOn w:val="1184"/>
    <w:link w:val="1253"/>
    <w:uiPriority w:val="0"/>
    <w:qFormat/>
    <w:pPr>
      <w:shd w:val="clear" w:color="auto" w:fill="000080"/>
    </w:pPr>
  </w:style>
  <w:style w:type="paragraph" w:styleId="1200">
    <w:name w:val="annotation text"/>
    <w:basedOn w:val="1184"/>
    <w:link w:val="1254"/>
    <w:uiPriority w:val="0"/>
    <w:qFormat/>
    <w:pPr>
      <w:jc w:val="left"/>
    </w:pPr>
  </w:style>
  <w:style w:type="paragraph" w:styleId="1201">
    <w:name w:val="Body Text 3"/>
    <w:basedOn w:val="1184"/>
    <w:link w:val="1255"/>
    <w:uiPriority w:val="0"/>
    <w:qFormat/>
    <w:pPr>
      <w:spacing w:after="120"/>
    </w:pPr>
    <w:rPr>
      <w:sz w:val="16"/>
      <w:szCs w:val="16"/>
    </w:rPr>
  </w:style>
  <w:style w:type="paragraph" w:styleId="1202">
    <w:name w:val="Body Text"/>
    <w:basedOn w:val="1184"/>
    <w:next w:val="1184"/>
    <w:link w:val="1256"/>
    <w:uiPriority w:val="0"/>
    <w:qFormat/>
    <w:pPr>
      <w:spacing w:before="120" w:line="22" w:lineRule="atLeast"/>
      <w:tabs>
        <w:tab w:val="left" w:pos="567" w:leader="none"/>
      </w:tabs>
    </w:pPr>
    <w:rPr>
      <w:rFonts w:ascii="宋体" w:hAnsi="宋体"/>
      <w:sz w:val="24"/>
    </w:rPr>
  </w:style>
  <w:style w:type="paragraph" w:styleId="1203">
    <w:name w:val="Body Text Indent"/>
    <w:basedOn w:val="1184"/>
    <w:link w:val="1257"/>
    <w:uiPriority w:val="99"/>
    <w:qFormat/>
    <w:pPr>
      <w:ind w:firstLine="570"/>
      <w:spacing w:line="360" w:lineRule="auto"/>
    </w:pPr>
    <w:rPr>
      <w:sz w:val="24"/>
    </w:rPr>
  </w:style>
  <w:style w:type="paragraph" w:styleId="1204">
    <w:name w:val="List 2"/>
    <w:basedOn w:val="1184"/>
    <w:uiPriority w:val="0"/>
    <w:qFormat/>
    <w:pPr>
      <w:ind w:left="100" w:hanging="200"/>
    </w:pPr>
  </w:style>
  <w:style w:type="paragraph" w:styleId="1205">
    <w:name w:val="Block Text"/>
    <w:basedOn w:val="1184"/>
    <w:uiPriority w:val="0"/>
    <w:qFormat/>
    <w:pPr>
      <w:ind w:left="480" w:right="-341" w:firstLine="513"/>
      <w:widowControl/>
    </w:pPr>
    <w:rPr>
      <w:sz w:val="24"/>
      <w:szCs w:val="20"/>
    </w:rPr>
  </w:style>
  <w:style w:type="paragraph" w:styleId="1206">
    <w:name w:val="toc 5"/>
    <w:basedOn w:val="1184"/>
    <w:next w:val="1184"/>
    <w:uiPriority w:val="0"/>
    <w:qFormat/>
    <w:pPr>
      <w:ind w:left="1680"/>
    </w:pPr>
  </w:style>
  <w:style w:type="paragraph" w:styleId="1207">
    <w:name w:val="toc 3"/>
    <w:basedOn w:val="1184"/>
    <w:next w:val="1184"/>
    <w:uiPriority w:val="39"/>
    <w:qFormat/>
    <w:pPr>
      <w:ind w:left="840"/>
    </w:pPr>
  </w:style>
  <w:style w:type="paragraph" w:styleId="1208">
    <w:name w:val="Plain Text"/>
    <w:basedOn w:val="1184"/>
    <w:link w:val="1258"/>
    <w:uiPriority w:val="99"/>
    <w:qFormat/>
    <w:rPr>
      <w:rFonts w:hint="eastAsia" w:ascii="宋体" w:hAnsi="Courier New"/>
      <w:szCs w:val="20"/>
    </w:rPr>
  </w:style>
  <w:style w:type="paragraph" w:styleId="1209">
    <w:name w:val="toc 8"/>
    <w:basedOn w:val="1184"/>
    <w:next w:val="1184"/>
    <w:uiPriority w:val="0"/>
    <w:qFormat/>
    <w:pPr>
      <w:ind w:left="2940"/>
    </w:pPr>
  </w:style>
  <w:style w:type="paragraph" w:styleId="1210">
    <w:name w:val="Date"/>
    <w:basedOn w:val="1184"/>
    <w:next w:val="1184"/>
    <w:link w:val="1259"/>
    <w:uiPriority w:val="0"/>
    <w:qFormat/>
    <w:pPr>
      <w:ind w:left="100"/>
    </w:pPr>
    <w:rPr>
      <w:rFonts w:ascii="仿宋_GB2312" w:hAnsi="宋体" w:eastAsia="仿宋_GB2312"/>
      <w:color w:val="000000"/>
      <w:sz w:val="24"/>
    </w:rPr>
  </w:style>
  <w:style w:type="paragraph" w:styleId="1211">
    <w:name w:val="Body Text Indent 2"/>
    <w:basedOn w:val="1184"/>
    <w:link w:val="1260"/>
    <w:uiPriority w:val="0"/>
    <w:qFormat/>
    <w:pPr>
      <w:ind w:firstLine="480"/>
    </w:pPr>
    <w:rPr>
      <w:rFonts w:ascii="仿宋_GB2312" w:eastAsia="仿宋_GB2312"/>
      <w:sz w:val="24"/>
    </w:rPr>
  </w:style>
  <w:style w:type="paragraph" w:styleId="1212">
    <w:name w:val="Balloon Text"/>
    <w:basedOn w:val="1184"/>
    <w:link w:val="1261"/>
    <w:uiPriority w:val="0"/>
    <w:qFormat/>
    <w:rPr>
      <w:sz w:val="18"/>
      <w:szCs w:val="18"/>
    </w:rPr>
  </w:style>
  <w:style w:type="paragraph" w:styleId="1213">
    <w:name w:val="Footer"/>
    <w:basedOn w:val="1184"/>
    <w:link w:val="1262"/>
    <w:uiPriority w:val="99"/>
    <w:qFormat/>
    <w:pPr>
      <w:jc w:val="left"/>
      <w:tabs>
        <w:tab w:val="center" w:pos="4153" w:leader="none"/>
        <w:tab w:val="right" w:pos="8306" w:leader="none"/>
      </w:tabs>
    </w:pPr>
    <w:rPr>
      <w:rFonts w:ascii="宋体"/>
      <w:sz w:val="18"/>
      <w:szCs w:val="20"/>
    </w:rPr>
  </w:style>
  <w:style w:type="paragraph" w:styleId="1214">
    <w:name w:val="Header"/>
    <w:basedOn w:val="1184"/>
    <w:link w:val="1263"/>
    <w:uiPriority w:val="0"/>
    <w:qFormat/>
    <w:pPr>
      <w:jc w:val="center"/>
      <w:tabs>
        <w:tab w:val="center" w:pos="4153" w:leader="none"/>
        <w:tab w:val="right" w:pos="8306" w:leader="none"/>
      </w:tabs>
      <w:pBdr>
        <w:bottom w:val="single" w:color="auto" w:sz="6" w:space="1"/>
      </w:pBdr>
    </w:pPr>
    <w:rPr>
      <w:sz w:val="18"/>
      <w:szCs w:val="18"/>
    </w:rPr>
  </w:style>
  <w:style w:type="paragraph" w:styleId="1215">
    <w:name w:val="toc 1"/>
    <w:basedOn w:val="1184"/>
    <w:next w:val="1184"/>
    <w:uiPriority w:val="39"/>
    <w:qFormat/>
    <w:pPr>
      <w:spacing w:line="300" w:lineRule="auto"/>
      <w:tabs>
        <w:tab w:val="left" w:pos="1050" w:leader="none"/>
        <w:tab w:val="right" w:pos="8937" w:leader="dot"/>
      </w:tabs>
    </w:pPr>
    <w:rPr>
      <w:rFonts w:ascii="宋体" w:hAnsi="宋体"/>
      <w:b/>
      <w:sz w:val="24"/>
    </w:rPr>
  </w:style>
  <w:style w:type="paragraph" w:styleId="1216">
    <w:name w:val="toc 4"/>
    <w:basedOn w:val="1184"/>
    <w:next w:val="1184"/>
    <w:uiPriority w:val="0"/>
    <w:qFormat/>
    <w:pPr>
      <w:ind w:left="1260"/>
    </w:pPr>
  </w:style>
  <w:style w:type="paragraph" w:styleId="1217">
    <w:name w:val="toc 6"/>
    <w:basedOn w:val="1184"/>
    <w:next w:val="1184"/>
    <w:uiPriority w:val="0"/>
    <w:qFormat/>
    <w:pPr>
      <w:ind w:left="2100"/>
    </w:pPr>
  </w:style>
  <w:style w:type="paragraph" w:styleId="1218">
    <w:name w:val="Body Text Indent 3"/>
    <w:basedOn w:val="1184"/>
    <w:link w:val="1264"/>
    <w:uiPriority w:val="0"/>
    <w:qFormat/>
    <w:pPr>
      <w:ind w:left="720" w:firstLine="480"/>
      <w:jc w:val="left"/>
      <w:spacing w:before="120" w:line="22" w:lineRule="atLeast"/>
    </w:pPr>
    <w:rPr>
      <w:rFonts w:ascii="宋体"/>
      <w:sz w:val="24"/>
      <w:szCs w:val="20"/>
    </w:rPr>
  </w:style>
  <w:style w:type="paragraph" w:styleId="1219">
    <w:name w:val="toc 2"/>
    <w:basedOn w:val="1184"/>
    <w:next w:val="1184"/>
    <w:uiPriority w:val="39"/>
    <w:qFormat/>
    <w:pPr>
      <w:ind w:left="420"/>
      <w:spacing w:line="312" w:lineRule="auto"/>
      <w:tabs>
        <w:tab w:val="right" w:pos="8937" w:leader="dot"/>
      </w:tabs>
    </w:pPr>
  </w:style>
  <w:style w:type="paragraph" w:styleId="1220">
    <w:name w:val="toc 9"/>
    <w:basedOn w:val="1184"/>
    <w:next w:val="1184"/>
    <w:uiPriority w:val="0"/>
    <w:qFormat/>
    <w:pPr>
      <w:ind w:left="3360"/>
    </w:pPr>
  </w:style>
  <w:style w:type="paragraph" w:styleId="1221">
    <w:name w:val="HTML Preformatted"/>
    <w:basedOn w:val="1184"/>
    <w:link w:val="12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22">
    <w:name w:val="Normal (Web)"/>
    <w:basedOn w:val="1184"/>
    <w:link w:val="1266"/>
    <w:uiPriority w:val="99"/>
    <w:unhideWhenUsed/>
    <w:qFormat/>
    <w:pPr>
      <w:jc w:val="left"/>
      <w:spacing w:before="100" w:beforeAutospacing="1" w:after="100" w:afterAutospacing="1"/>
      <w:widowControl/>
    </w:pPr>
    <w:rPr>
      <w:rFonts w:ascii="宋体" w:hAnsi="宋体"/>
      <w:sz w:val="24"/>
    </w:rPr>
  </w:style>
  <w:style w:type="paragraph" w:styleId="1223">
    <w:name w:val="index 1"/>
    <w:basedOn w:val="1184"/>
    <w:next w:val="1184"/>
    <w:uiPriority w:val="0"/>
    <w:qFormat/>
    <w:rPr>
      <w:szCs w:val="20"/>
    </w:rPr>
  </w:style>
  <w:style w:type="paragraph" w:styleId="1224">
    <w:name w:val="Title"/>
    <w:basedOn w:val="1184"/>
    <w:link w:val="1267"/>
    <w:uiPriority w:val="0"/>
    <w:qFormat/>
    <w:pPr>
      <w:jc w:val="center"/>
      <w:outlineLvl w:val="0"/>
    </w:pPr>
    <w:rPr>
      <w:b/>
      <w:sz w:val="32"/>
      <w:szCs w:val="20"/>
    </w:rPr>
  </w:style>
  <w:style w:type="paragraph" w:styleId="1225">
    <w:name w:val="annotation subject"/>
    <w:basedOn w:val="1200"/>
    <w:next w:val="1200"/>
    <w:link w:val="1268"/>
    <w:uiPriority w:val="0"/>
    <w:qFormat/>
    <w:rPr>
      <w:b/>
      <w:bCs/>
    </w:rPr>
  </w:style>
  <w:style w:type="paragraph" w:styleId="1226">
    <w:name w:val="Body Text First Indent 2"/>
    <w:basedOn w:val="1203"/>
    <w:next w:val="1184"/>
    <w:link w:val="1269"/>
    <w:uiPriority w:val="0"/>
    <w:qFormat/>
    <w:pPr>
      <w:ind w:left="420" w:firstLine="420"/>
      <w:spacing w:after="120" w:line="480" w:lineRule="exact"/>
    </w:pPr>
  </w:style>
  <w:style w:type="table" w:styleId="1227">
    <w:name w:val="Table Grid"/>
    <w:basedOn w:val="11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8">
    <w:name w:val="Medium Grid 1 Accent 2"/>
    <w:basedOn w:val="1195"/>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229">
    <w:name w:val="Strong"/>
    <w:uiPriority w:val="0"/>
    <w:qFormat/>
    <w:rPr>
      <w:b/>
      <w:bCs/>
    </w:rPr>
  </w:style>
  <w:style w:type="character" w:styleId="1230">
    <w:name w:val="page number"/>
    <w:uiPriority w:val="0"/>
    <w:qFormat/>
  </w:style>
  <w:style w:type="character" w:styleId="1231">
    <w:name w:val="FollowedHyperlink"/>
    <w:uiPriority w:val="0"/>
    <w:qFormat/>
    <w:rPr>
      <w:color w:val="000000"/>
      <w:u w:val="none"/>
    </w:rPr>
  </w:style>
  <w:style w:type="character" w:styleId="1232">
    <w:name w:val="Emphasis"/>
    <w:uiPriority w:val="0"/>
    <w:qFormat/>
    <w:rPr>
      <w:color w:val="cc0033"/>
    </w:rPr>
  </w:style>
  <w:style w:type="character" w:styleId="1233">
    <w:name w:val="HTML Definition"/>
    <w:uiPriority w:val="0"/>
    <w:qFormat/>
  </w:style>
  <w:style w:type="character" w:styleId="1234">
    <w:name w:val="HTML Typewriter"/>
    <w:uiPriority w:val="0"/>
    <w:qFormat/>
    <w:rPr>
      <w:rFonts w:hint="default" w:ascii="monospace" w:hAnsi="monospace" w:eastAsia="monospace" w:cs="monospace"/>
      <w:sz w:val="20"/>
    </w:rPr>
  </w:style>
  <w:style w:type="character" w:styleId="1235">
    <w:name w:val="HTML Acronym"/>
    <w:uiPriority w:val="0"/>
    <w:qFormat/>
  </w:style>
  <w:style w:type="character" w:styleId="1236">
    <w:name w:val="HTML Variable"/>
    <w:uiPriority w:val="0"/>
    <w:qFormat/>
  </w:style>
  <w:style w:type="character" w:styleId="1237">
    <w:name w:val="Hyperlink"/>
    <w:uiPriority w:val="99"/>
    <w:qFormat/>
    <w:rPr>
      <w:color w:val="000000"/>
      <w:u w:val="none"/>
    </w:rPr>
  </w:style>
  <w:style w:type="character" w:styleId="1238">
    <w:name w:val="HTML Code"/>
    <w:uiPriority w:val="0"/>
    <w:qFormat/>
    <w:rPr>
      <w:rFonts w:hint="default" w:ascii="monospace" w:hAnsi="monospace" w:eastAsia="monospace" w:cs="monospace"/>
      <w:sz w:val="20"/>
    </w:rPr>
  </w:style>
  <w:style w:type="character" w:styleId="1239">
    <w:name w:val="annotation reference"/>
    <w:uiPriority w:val="99"/>
    <w:qFormat/>
    <w:rPr>
      <w:sz w:val="21"/>
      <w:szCs w:val="21"/>
    </w:rPr>
  </w:style>
  <w:style w:type="character" w:styleId="1240">
    <w:name w:val="HTML Cite"/>
    <w:uiPriority w:val="0"/>
    <w:qFormat/>
    <w:rPr>
      <w:i/>
      <w:iCs/>
    </w:rPr>
  </w:style>
  <w:style w:type="character" w:styleId="1241">
    <w:name w:val="HTML Keyboard"/>
    <w:uiPriority w:val="0"/>
    <w:qFormat/>
    <w:rPr>
      <w:rFonts w:hint="default" w:ascii="monospace" w:hAnsi="monospace" w:eastAsia="monospace" w:cs="monospace"/>
      <w:sz w:val="20"/>
    </w:rPr>
  </w:style>
  <w:style w:type="character" w:styleId="1242">
    <w:name w:val="HTML Sample"/>
    <w:uiPriority w:val="0"/>
    <w:qFormat/>
    <w:rPr>
      <w:rFonts w:ascii="monospace" w:hAnsi="monospace" w:eastAsia="monospace" w:cs="monospace"/>
    </w:rPr>
  </w:style>
  <w:style w:type="character" w:styleId="1243" w:customStyle="1">
    <w:name w:val="标题 1 字符"/>
    <w:link w:val="1185"/>
    <w:uiPriority w:val="0"/>
    <w:qFormat/>
    <w:rPr>
      <w:rFonts w:ascii="宋体"/>
      <w:b/>
      <w:sz w:val="32"/>
    </w:rPr>
  </w:style>
  <w:style w:type="character" w:styleId="1244" w:customStyle="1">
    <w:name w:val="标题 2 字符"/>
    <w:link w:val="1186"/>
    <w:uiPriority w:val="0"/>
    <w:qFormat/>
    <w:rPr>
      <w:rFonts w:ascii="Arial" w:hAnsi="Arial" w:eastAsia="黑体"/>
      <w:b/>
      <w:sz w:val="30"/>
      <w:lang w:val="en-US" w:eastAsia="zh-CN" w:bidi="ar-SA"/>
    </w:rPr>
  </w:style>
  <w:style w:type="character" w:styleId="1245" w:customStyle="1">
    <w:name w:val="标题 3 字符"/>
    <w:link w:val="1187"/>
    <w:uiPriority w:val="0"/>
    <w:qFormat/>
    <w:rPr>
      <w:rFonts w:ascii="宋体" w:eastAsia="宋体"/>
      <w:b/>
      <w:sz w:val="24"/>
      <w:u w:val="single"/>
      <w:lang w:val="en-US" w:eastAsia="zh-CN" w:bidi="ar-SA"/>
    </w:rPr>
  </w:style>
  <w:style w:type="character" w:styleId="1246" w:customStyle="1">
    <w:name w:val="标题 4 字符"/>
    <w:link w:val="1188"/>
    <w:uiPriority w:val="0"/>
    <w:qFormat/>
    <w:rPr>
      <w:rFonts w:ascii="Arial" w:hAnsi="Arial" w:eastAsia="黑体"/>
      <w:b/>
      <w:sz w:val="28"/>
    </w:rPr>
  </w:style>
  <w:style w:type="character" w:styleId="1247" w:customStyle="1">
    <w:name w:val="标题 5 字符"/>
    <w:link w:val="1189"/>
    <w:uiPriority w:val="0"/>
    <w:qFormat/>
    <w:rPr>
      <w:b/>
      <w:sz w:val="28"/>
    </w:rPr>
  </w:style>
  <w:style w:type="character" w:styleId="1248" w:customStyle="1">
    <w:name w:val="标题 6 字符"/>
    <w:link w:val="1190"/>
    <w:uiPriority w:val="0"/>
    <w:qFormat/>
    <w:rPr>
      <w:rFonts w:ascii="Arial" w:hAnsi="Arial" w:eastAsia="黑体"/>
      <w:b/>
      <w:sz w:val="24"/>
    </w:rPr>
  </w:style>
  <w:style w:type="character" w:styleId="1249" w:customStyle="1">
    <w:name w:val="标题 7 字符"/>
    <w:link w:val="1191"/>
    <w:uiPriority w:val="0"/>
    <w:qFormat/>
    <w:rPr>
      <w:b/>
      <w:sz w:val="24"/>
    </w:rPr>
  </w:style>
  <w:style w:type="character" w:styleId="1250" w:customStyle="1">
    <w:name w:val="标题 8 字符"/>
    <w:link w:val="1192"/>
    <w:uiPriority w:val="0"/>
    <w:qFormat/>
    <w:rPr>
      <w:rFonts w:ascii="Arial" w:hAnsi="Arial" w:eastAsia="黑体"/>
      <w:sz w:val="24"/>
    </w:rPr>
  </w:style>
  <w:style w:type="character" w:styleId="1251" w:customStyle="1">
    <w:name w:val="标题 9 字符"/>
    <w:link w:val="1193"/>
    <w:uiPriority w:val="0"/>
    <w:qFormat/>
    <w:rPr>
      <w:rFonts w:ascii="Arial" w:hAnsi="Arial" w:eastAsia="黑体"/>
      <w:sz w:val="21"/>
    </w:rPr>
  </w:style>
  <w:style w:type="character" w:styleId="1252" w:customStyle="1">
    <w:name w:val="正文缩进 字符"/>
    <w:link w:val="1197"/>
    <w:uiPriority w:val="0"/>
    <w:qFormat/>
    <w:rPr>
      <w:rFonts w:ascii="宋体" w:eastAsia="宋体"/>
      <w:sz w:val="24"/>
      <w:szCs w:val="24"/>
      <w:lang w:val="en-US" w:eastAsia="zh-CN" w:bidi="ar-SA"/>
    </w:rPr>
  </w:style>
  <w:style w:type="character" w:styleId="1253" w:customStyle="1">
    <w:name w:val="文档结构图 字符"/>
    <w:link w:val="1199"/>
    <w:uiPriority w:val="0"/>
    <w:qFormat/>
    <w:rPr>
      <w:sz w:val="21"/>
      <w:szCs w:val="24"/>
      <w:shd w:val="clear" w:color="auto" w:fill="000080"/>
    </w:rPr>
  </w:style>
  <w:style w:type="character" w:styleId="1254" w:customStyle="1">
    <w:name w:val="批注文字 字符1"/>
    <w:link w:val="1200"/>
    <w:uiPriority w:val="99"/>
    <w:qFormat/>
    <w:rPr>
      <w:sz w:val="21"/>
      <w:szCs w:val="24"/>
    </w:rPr>
  </w:style>
  <w:style w:type="character" w:styleId="1255" w:customStyle="1">
    <w:name w:val="正文文本 3 字符"/>
    <w:link w:val="1201"/>
    <w:uiPriority w:val="0"/>
    <w:qFormat/>
    <w:rPr>
      <w:sz w:val="16"/>
      <w:szCs w:val="16"/>
    </w:rPr>
  </w:style>
  <w:style w:type="character" w:styleId="1256" w:customStyle="1">
    <w:name w:val="正文文本 字符"/>
    <w:link w:val="1202"/>
    <w:uiPriority w:val="0"/>
    <w:qFormat/>
    <w:rPr>
      <w:rFonts w:ascii="宋体" w:hAnsi="宋体"/>
      <w:sz w:val="24"/>
      <w:szCs w:val="24"/>
    </w:rPr>
  </w:style>
  <w:style w:type="character" w:styleId="1257" w:customStyle="1">
    <w:name w:val="正文文本缩进 字符"/>
    <w:link w:val="1203"/>
    <w:uiPriority w:val="99"/>
    <w:qFormat/>
    <w:rPr>
      <w:rFonts w:eastAsia="宋体"/>
      <w:sz w:val="24"/>
      <w:szCs w:val="24"/>
      <w:lang w:val="en-US" w:eastAsia="zh-CN" w:bidi="ar-SA"/>
    </w:rPr>
  </w:style>
  <w:style w:type="character" w:styleId="1258" w:customStyle="1">
    <w:name w:val="纯文本 字符2"/>
    <w:link w:val="1208"/>
    <w:uiPriority w:val="0"/>
    <w:qFormat/>
    <w:rPr>
      <w:rFonts w:hint="eastAsia" w:ascii="宋体" w:hAnsi="Courier New" w:eastAsia="宋体" w:cs="宋体"/>
      <w:sz w:val="21"/>
    </w:rPr>
  </w:style>
  <w:style w:type="character" w:styleId="1259" w:customStyle="1">
    <w:name w:val="日期 字符"/>
    <w:link w:val="1210"/>
    <w:uiPriority w:val="0"/>
    <w:qFormat/>
    <w:rPr>
      <w:rFonts w:ascii="仿宋_GB2312" w:hAnsi="宋体" w:eastAsia="仿宋_GB2312"/>
      <w:color w:val="000000"/>
      <w:sz w:val="24"/>
      <w:szCs w:val="24"/>
    </w:rPr>
  </w:style>
  <w:style w:type="character" w:styleId="1260" w:customStyle="1">
    <w:name w:val="正文文本缩进 2 字符"/>
    <w:link w:val="1211"/>
    <w:uiPriority w:val="0"/>
    <w:qFormat/>
    <w:rPr>
      <w:rFonts w:ascii="仿宋_GB2312" w:eastAsia="仿宋_GB2312"/>
      <w:sz w:val="24"/>
      <w:szCs w:val="24"/>
    </w:rPr>
  </w:style>
  <w:style w:type="character" w:styleId="1261" w:customStyle="1">
    <w:name w:val="批注框文本 字符"/>
    <w:link w:val="1212"/>
    <w:uiPriority w:val="0"/>
    <w:qFormat/>
    <w:rPr>
      <w:sz w:val="18"/>
      <w:szCs w:val="18"/>
    </w:rPr>
  </w:style>
  <w:style w:type="character" w:styleId="1262" w:customStyle="1">
    <w:name w:val="页脚 字符1"/>
    <w:link w:val="1213"/>
    <w:uiPriority w:val="99"/>
    <w:qFormat/>
    <w:rPr>
      <w:rFonts w:ascii="宋体" w:eastAsia="宋体"/>
      <w:sz w:val="18"/>
      <w:lang w:val="en-US" w:eastAsia="zh-CN" w:bidi="ar-SA"/>
    </w:rPr>
  </w:style>
  <w:style w:type="character" w:styleId="1263" w:customStyle="1">
    <w:name w:val="页眉 字符"/>
    <w:link w:val="1214"/>
    <w:uiPriority w:val="0"/>
    <w:qFormat/>
    <w:rPr>
      <w:rFonts w:eastAsia="宋体"/>
      <w:sz w:val="18"/>
      <w:szCs w:val="18"/>
      <w:lang w:val="en-US" w:eastAsia="zh-CN" w:bidi="ar-SA"/>
    </w:rPr>
  </w:style>
  <w:style w:type="character" w:styleId="1264" w:customStyle="1">
    <w:name w:val="正文文本缩进 3 字符"/>
    <w:link w:val="1218"/>
    <w:uiPriority w:val="0"/>
    <w:qFormat/>
    <w:rPr>
      <w:rFonts w:ascii="宋体"/>
      <w:sz w:val="24"/>
    </w:rPr>
  </w:style>
  <w:style w:type="character" w:styleId="1265" w:customStyle="1">
    <w:name w:val="HTML 预设格式 字符"/>
    <w:link w:val="1221"/>
    <w:uiPriority w:val="0"/>
    <w:qFormat/>
    <w:rPr>
      <w:rFonts w:ascii="宋体" w:hAnsi="宋体" w:cs="宋体"/>
      <w:sz w:val="24"/>
      <w:szCs w:val="24"/>
    </w:rPr>
  </w:style>
  <w:style w:type="character" w:styleId="1266" w:customStyle="1">
    <w:name w:val="普通(网站) 字符"/>
    <w:link w:val="1222"/>
    <w:uiPriority w:val="99"/>
    <w:qFormat/>
    <w:rPr>
      <w:rFonts w:ascii="宋体" w:hAnsi="宋体" w:cs="宋体"/>
      <w:sz w:val="24"/>
      <w:szCs w:val="24"/>
    </w:rPr>
  </w:style>
  <w:style w:type="character" w:styleId="1267" w:customStyle="1">
    <w:name w:val="标题 字符"/>
    <w:link w:val="1224"/>
    <w:uiPriority w:val="0"/>
    <w:qFormat/>
    <w:rPr>
      <w:b/>
      <w:sz w:val="32"/>
    </w:rPr>
  </w:style>
  <w:style w:type="character" w:styleId="1268" w:customStyle="1">
    <w:name w:val="批注主题 字符"/>
    <w:link w:val="1225"/>
    <w:uiPriority w:val="0"/>
    <w:qFormat/>
    <w:rPr>
      <w:rFonts w:ascii="Times New Roman" w:hAnsi="Times New Roman" w:eastAsia="宋体" w:cs="Times New Roman"/>
      <w:b/>
      <w:bCs/>
      <w:sz w:val="21"/>
      <w:szCs w:val="24"/>
      <w:lang w:val="en-US" w:eastAsia="zh-CN" w:bidi="ar-SA"/>
    </w:rPr>
  </w:style>
  <w:style w:type="character" w:styleId="1269" w:customStyle="1">
    <w:name w:val="正文文本首行缩进 2 字符"/>
    <w:link w:val="1226"/>
    <w:uiPriority w:val="0"/>
    <w:qFormat/>
    <w:rPr>
      <w:rFonts w:eastAsia="宋体"/>
      <w:sz w:val="24"/>
      <w:szCs w:val="24"/>
      <w:lang w:val="en-US" w:eastAsia="zh-CN" w:bidi="ar-SA"/>
    </w:rPr>
  </w:style>
  <w:style w:type="character" w:styleId="1270" w:customStyle="1">
    <w:name w:val="批注文字 字符"/>
    <w:uiPriority w:val="0"/>
    <w:qFormat/>
    <w:rPr>
      <w:rFonts w:ascii="Times New Roman" w:hAnsi="Times New Roman" w:eastAsia="宋体" w:cs="Times New Roman"/>
      <w:sz w:val="24"/>
      <w:lang w:val="en-US" w:eastAsia="zh-CN" w:bidi="ar-SA"/>
    </w:rPr>
  </w:style>
  <w:style w:type="character" w:styleId="1271" w:customStyle="1">
    <w:name w:val="c21"/>
    <w:uiPriority w:val="0"/>
    <w:qFormat/>
    <w:rPr>
      <w:rFonts w:hint="default" w:ascii="ˎ̥" w:hAnsi="ˎ̥"/>
      <w:color w:val="000000"/>
      <w:sz w:val="20"/>
      <w:szCs w:val="20"/>
      <w:u w:val="none"/>
    </w:rPr>
  </w:style>
  <w:style w:type="character" w:styleId="1272" w:customStyle="1">
    <w:name w:val="title4"/>
    <w:uiPriority w:val="0"/>
    <w:qFormat/>
    <w:rPr>
      <w:b/>
      <w:bCs/>
      <w:color w:val="1d87b3"/>
      <w:sz w:val="15"/>
      <w:szCs w:val="15"/>
    </w:rPr>
  </w:style>
  <w:style w:type="character" w:styleId="1273" w:customStyle="1">
    <w:name w:val="标题 2 Char Char"/>
    <w:uiPriority w:val="0"/>
    <w:qFormat/>
    <w:rPr>
      <w:rFonts w:ascii="Arial" w:hAnsi="Arial" w:eastAsia="黑体"/>
      <w:b/>
      <w:bCs/>
      <w:sz w:val="32"/>
      <w:szCs w:val="32"/>
      <w:lang w:val="en-US" w:eastAsia="zh-CN" w:bidi="ar-SA"/>
    </w:rPr>
  </w:style>
  <w:style w:type="character" w:styleId="1274" w:customStyle="1">
    <w:name w:val="black1"/>
    <w:uiPriority w:val="0"/>
    <w:qFormat/>
    <w:rPr>
      <w:color w:val="000000"/>
    </w:rPr>
  </w:style>
  <w:style w:type="character" w:styleId="1275" w:customStyle="1">
    <w:name w:val="street-address"/>
    <w:uiPriority w:val="0"/>
    <w:qFormat/>
  </w:style>
  <w:style w:type="character" w:styleId="1276" w:customStyle="1">
    <w:name w:val="locality"/>
    <w:uiPriority w:val="0"/>
    <w:qFormat/>
  </w:style>
  <w:style w:type="character" w:styleId="1277" w:customStyle="1">
    <w:name w:val="正文文本缩进 Char1"/>
    <w:link w:val="1278"/>
    <w:uiPriority w:val="0"/>
    <w:qFormat/>
    <w:rPr>
      <w:rFonts w:ascii="宋体" w:hAnsi="宋体" w:eastAsia="宋体"/>
      <w:sz w:val="24"/>
      <w:szCs w:val="24"/>
      <w:lang w:bidi="ar-SA"/>
    </w:rPr>
  </w:style>
  <w:style w:type="paragraph" w:styleId="1278" w:customStyle="1">
    <w:name w:val="正文文本缩进1"/>
    <w:basedOn w:val="1184"/>
    <w:link w:val="1277"/>
    <w:uiPriority w:val="0"/>
    <w:qFormat/>
    <w:pPr>
      <w:ind w:firstLine="480"/>
      <w:spacing w:line="480" w:lineRule="exact"/>
    </w:pPr>
    <w:rPr>
      <w:rFonts w:ascii="宋体" w:hAnsi="宋体"/>
      <w:sz w:val="24"/>
    </w:rPr>
  </w:style>
  <w:style w:type="character" w:styleId="1279" w:customStyle="1">
    <w:name w:val="Char Char11"/>
    <w:uiPriority w:val="0"/>
    <w:qFormat/>
    <w:rPr>
      <w:rFonts w:ascii="宋体" w:eastAsia="宋体"/>
      <w:b/>
      <w:sz w:val="24"/>
      <w:u w:val="single"/>
      <w:lang w:val="en-US" w:eastAsia="zh-CN" w:bidi="ar-SA"/>
    </w:rPr>
  </w:style>
  <w:style w:type="character" w:styleId="1280" w:customStyle="1">
    <w:name w:val="txt"/>
    <w:uiPriority w:val="0"/>
    <w:qFormat/>
  </w:style>
  <w:style w:type="character" w:styleId="1281" w:customStyle="1">
    <w:name w:val="正文缩进 Char Char"/>
    <w:link w:val="1282"/>
    <w:uiPriority w:val="0"/>
    <w:qFormat/>
    <w:rPr>
      <w:rFonts w:ascii="宋体" w:eastAsia="宋体"/>
      <w:color w:val="000000"/>
      <w:sz w:val="28"/>
      <w:lang w:bidi="ar-SA"/>
    </w:rPr>
  </w:style>
  <w:style w:type="paragraph" w:styleId="1282" w:customStyle="1">
    <w:name w:val="正文缩进1"/>
    <w:basedOn w:val="1184"/>
    <w:link w:val="1281"/>
    <w:uiPriority w:val="0"/>
    <w:qFormat/>
    <w:pPr>
      <w:ind w:firstLine="567"/>
      <w:spacing w:line="480" w:lineRule="exact"/>
      <w:widowControl/>
    </w:pPr>
    <w:rPr>
      <w:rFonts w:ascii="宋体"/>
      <w:color w:val="000000"/>
      <w:sz w:val="28"/>
      <w:szCs w:val="20"/>
    </w:rPr>
  </w:style>
  <w:style w:type="character" w:styleId="1283" w:customStyle="1">
    <w:name w:val="普通文字1 Char1"/>
    <w:uiPriority w:val="0"/>
    <w:qFormat/>
    <w:rPr>
      <w:rFonts w:ascii="宋体" w:hAnsi="Courier New" w:eastAsia="宋体"/>
      <w:sz w:val="21"/>
      <w:lang w:val="en-US" w:eastAsia="zh-CN" w:bidi="ar-SA"/>
    </w:rPr>
  </w:style>
  <w:style w:type="character" w:styleId="1284" w:customStyle="1">
    <w:name w:val="chanpin1"/>
    <w:uiPriority w:val="0"/>
    <w:qFormat/>
    <w:rPr>
      <w:rFonts w:hint="default" w:ascii="ˎ̥" w:hAnsi="ˎ̥"/>
      <w:color w:val="000000"/>
      <w:sz w:val="20"/>
      <w:szCs w:val="20"/>
      <w:u w:val="none"/>
    </w:rPr>
  </w:style>
  <w:style w:type="character" w:styleId="1285" w:customStyle="1">
    <w:name w:val="列表段落 字符"/>
    <w:link w:val="1286"/>
    <w:uiPriority w:val="34"/>
    <w:qFormat/>
    <w:rPr>
      <w:rFonts w:ascii="Calibri" w:hAnsi="Calibri" w:eastAsia="宋体"/>
      <w:sz w:val="21"/>
      <w:szCs w:val="22"/>
      <w:lang w:val="en-US" w:eastAsia="zh-CN" w:bidi="ar-SA"/>
    </w:rPr>
  </w:style>
  <w:style w:type="paragraph" w:styleId="1286">
    <w:name w:val="List Paragraph"/>
    <w:basedOn w:val="1184"/>
    <w:link w:val="1285"/>
    <w:uiPriority w:val="34"/>
    <w:qFormat/>
    <w:pPr>
      <w:ind w:firstLine="420"/>
    </w:pPr>
    <w:rPr>
      <w:rFonts w:ascii="Calibri" w:hAnsi="Calibri"/>
      <w:szCs w:val="22"/>
    </w:rPr>
  </w:style>
  <w:style w:type="character" w:styleId="1287" w:customStyle="1">
    <w:name w:val="标题 3 Char Char"/>
    <w:uiPriority w:val="0"/>
    <w:qFormat/>
    <w:rPr>
      <w:rFonts w:eastAsia="宋体"/>
      <w:b/>
      <w:bCs/>
      <w:sz w:val="32"/>
      <w:szCs w:val="32"/>
      <w:lang w:val="en-US" w:eastAsia="zh-CN" w:bidi="ar-SA"/>
    </w:rPr>
  </w:style>
  <w:style w:type="character" w:styleId="1288" w:customStyle="1">
    <w:name w:val="段1 Char"/>
    <w:uiPriority w:val="0"/>
    <w:qFormat/>
    <w:rPr>
      <w:rFonts w:ascii="宋体" w:eastAsia="宋体"/>
      <w:sz w:val="24"/>
      <w:lang w:val="en-US" w:eastAsia="zh-CN" w:bidi="ar-SA"/>
    </w:rPr>
  </w:style>
  <w:style w:type="character" w:styleId="1289" w:customStyle="1">
    <w:name w:val="chanpin拷贝"/>
    <w:uiPriority w:val="0"/>
    <w:qFormat/>
  </w:style>
  <w:style w:type="character" w:styleId="1290" w:customStyle="1">
    <w:name w:val="纯文本 Char1"/>
    <w:link w:val="1291"/>
    <w:uiPriority w:val="0"/>
    <w:qFormat/>
    <w:rPr>
      <w:rFonts w:ascii="宋体" w:hAnsi="Courier New" w:eastAsia="宋体"/>
      <w:sz w:val="21"/>
      <w:lang w:val="en-US" w:eastAsia="zh-CN" w:bidi="ar-SA"/>
    </w:rPr>
  </w:style>
  <w:style w:type="paragraph" w:styleId="1291" w:customStyle="1">
    <w:name w:val="纯文本1"/>
    <w:basedOn w:val="1184"/>
    <w:link w:val="1290"/>
    <w:uiPriority w:val="0"/>
    <w:qFormat/>
    <w:rPr>
      <w:rFonts w:ascii="宋体" w:hAnsi="Courier New"/>
      <w:szCs w:val="20"/>
    </w:rPr>
  </w:style>
  <w:style w:type="character" w:styleId="1292" w:customStyle="1">
    <w:name w:val="apple-style-span"/>
    <w:uiPriority w:val="0"/>
    <w:qFormat/>
    <w:rPr>
      <w:rFonts w:cs="Times New Roman"/>
    </w:rPr>
  </w:style>
  <w:style w:type="paragraph" w:styleId="1293" w:customStyle="1">
    <w:name w:val="二级条标题"/>
    <w:basedOn w:val="1294"/>
    <w:next w:val="118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94" w:customStyle="1">
    <w:name w:val="一级条标题"/>
    <w:basedOn w:val="1295"/>
    <w:next w:val="1184"/>
    <w:uiPriority w:val="0"/>
    <w:qFormat/>
    <w:pPr>
      <w:numPr>
        <w:ilvl w:val="1"/>
      </w:numPr>
      <w:ind w:left="0" w:hanging="840"/>
      <w:tabs>
        <w:tab w:val="left" w:pos="360" w:leader="none"/>
        <w:tab w:val="left" w:pos="840" w:leader="none"/>
      </w:tabs>
      <w:outlineLvl w:val="1"/>
    </w:pPr>
  </w:style>
  <w:style w:type="paragraph" w:styleId="1295" w:customStyle="1">
    <w:name w:val="章标题"/>
    <w:next w:val="118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96" w:customStyle="1">
    <w:name w:val="font7"/>
    <w:basedOn w:val="1184"/>
    <w:uiPriority w:val="0"/>
    <w:qFormat/>
    <w:pPr>
      <w:jc w:val="left"/>
      <w:spacing w:before="100" w:beforeAutospacing="1" w:after="100" w:afterAutospacing="1"/>
      <w:widowControl/>
    </w:pPr>
    <w:rPr>
      <w:rFonts w:eastAsia="Arial Unicode MS"/>
      <w:b/>
      <w:bCs/>
      <w:color w:val="000000"/>
      <w:sz w:val="20"/>
      <w:szCs w:val="20"/>
    </w:rPr>
  </w:style>
  <w:style w:type="paragraph" w:styleId="1297" w:customStyle="1">
    <w:name w:val="字元 字元"/>
    <w:basedOn w:val="1184"/>
    <w:uiPriority w:val="0"/>
    <w:qFormat/>
    <w:rPr>
      <w:rFonts w:ascii="Tahoma" w:hAnsi="Tahoma"/>
      <w:sz w:val="24"/>
      <w:szCs w:val="20"/>
    </w:rPr>
  </w:style>
  <w:style w:type="paragraph" w:styleId="1298" w:customStyle="1">
    <w:name w:val="Char3 Char Char Char"/>
    <w:basedOn w:val="1184"/>
    <w:uiPriority w:val="0"/>
    <w:qFormat/>
    <w:rPr>
      <w:rFonts w:ascii="Tahoma" w:hAnsi="Tahoma"/>
      <w:sz w:val="24"/>
      <w:szCs w:val="20"/>
    </w:rPr>
  </w:style>
  <w:style w:type="paragraph" w:styleId="1299" w:customStyle="1">
    <w:name w:val="font6"/>
    <w:basedOn w:val="1184"/>
    <w:uiPriority w:val="0"/>
    <w:qFormat/>
    <w:pPr>
      <w:jc w:val="left"/>
      <w:spacing w:before="100" w:beforeAutospacing="1" w:after="100" w:afterAutospacing="1"/>
      <w:widowControl/>
    </w:pPr>
    <w:rPr>
      <w:rFonts w:ascii="宋体" w:hAnsi="宋体" w:cs="宋体"/>
      <w:sz w:val="20"/>
      <w:szCs w:val="20"/>
    </w:rPr>
  </w:style>
  <w:style w:type="paragraph" w:styleId="1300" w:customStyle="1">
    <w:name w:val="项目编号2"/>
    <w:basedOn w:val="1301"/>
    <w:uiPriority w:val="0"/>
    <w:qFormat/>
    <w:pPr>
      <w:numPr>
        <w:numId w:val="2"/>
      </w:numPr>
    </w:pPr>
  </w:style>
  <w:style w:type="paragraph" w:styleId="1301" w:customStyle="1">
    <w:name w:val="项目编号1"/>
    <w:basedOn w:val="1184"/>
    <w:uiPriority w:val="0"/>
    <w:qFormat/>
    <w:pPr>
      <w:numPr>
        <w:ilvl w:val="0"/>
        <w:numId w:val="3"/>
      </w:numPr>
      <w:spacing w:before="100" w:beforeAutospacing="1" w:after="100" w:afterAutospacing="1" w:line="360" w:lineRule="auto"/>
    </w:pPr>
    <w:rPr>
      <w:sz w:val="24"/>
    </w:rPr>
  </w:style>
  <w:style w:type="paragraph" w:styleId="1302" w:customStyle="1">
    <w:name w:val="图中文字"/>
    <w:basedOn w:val="1184"/>
    <w:uiPriority w:val="0"/>
    <w:qFormat/>
    <w:pPr>
      <w:jc w:val="center"/>
      <w:spacing w:line="0" w:lineRule="atLeast"/>
    </w:pPr>
    <w:rPr>
      <w:sz w:val="24"/>
      <w:szCs w:val="20"/>
    </w:rPr>
  </w:style>
  <w:style w:type="paragraph" w:styleId="1303" w:customStyle="1">
    <w:name w:val="xl46"/>
    <w:basedOn w:val="118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04" w:customStyle="1">
    <w:name w:val="xl25"/>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05" w:customStyle="1">
    <w:name w:val="Char2"/>
    <w:basedOn w:val="1184"/>
    <w:uiPriority w:val="0"/>
    <w:qFormat/>
    <w:rPr>
      <w:rFonts w:ascii="Tahoma" w:hAnsi="Tahoma"/>
      <w:sz w:val="24"/>
      <w:szCs w:val="20"/>
    </w:rPr>
  </w:style>
  <w:style w:type="paragraph" w:styleId="1306" w:customStyle="1">
    <w:name w:val="xl35"/>
    <w:basedOn w:val="11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7" w:customStyle="1">
    <w:name w:val="xl40"/>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08" w:customStyle="1">
    <w:name w:val="xl52"/>
    <w:basedOn w:val="11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309" w:customStyle="1">
    <w:name w:val="xl43"/>
    <w:basedOn w:val="11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10" w:customStyle="1">
    <w:name w:val="background1"/>
    <w:basedOn w:val="1184"/>
    <w:uiPriority w:val="0"/>
    <w:qFormat/>
    <w:pPr>
      <w:jc w:val="left"/>
      <w:spacing w:before="100" w:beforeAutospacing="1" w:after="100" w:afterAutospacing="1"/>
      <w:widowControl/>
    </w:pPr>
    <w:rPr>
      <w:rFonts w:ascii="宋体" w:hAnsi="宋体" w:cs="宋体"/>
      <w:sz w:val="24"/>
    </w:rPr>
  </w:style>
  <w:style w:type="paragraph" w:styleId="1311" w:customStyle="1">
    <w:name w:val="Char Char Char Char Char Char Char"/>
    <w:basedOn w:val="1184"/>
    <w:uiPriority w:val="0"/>
    <w:qFormat/>
    <w:pPr>
      <w:ind w:firstLine="200"/>
      <w:spacing w:line="360" w:lineRule="auto"/>
    </w:pPr>
    <w:rPr>
      <w:rFonts w:eastAsia="仿宋_GB2312"/>
      <w:sz w:val="24"/>
    </w:rPr>
  </w:style>
  <w:style w:type="paragraph" w:styleId="1312" w:customStyle="1">
    <w:name w:val="xl38"/>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313" w:customStyle="1">
    <w:name w:val="xl36"/>
    <w:basedOn w:val="118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customStyle="1">
    <w:name w:val="正文 + 宋体"/>
    <w:basedOn w:val="1184"/>
    <w:uiPriority w:val="0"/>
    <w:qFormat/>
    <w:pPr>
      <w:ind w:left="360" w:hanging="360"/>
      <w:jc w:val="left"/>
      <w:widowControl/>
    </w:pPr>
    <w:rPr>
      <w:rFonts w:ascii="宋体" w:hAnsi="宋体" w:cs="宋体"/>
      <w:b/>
      <w:bCs/>
      <w:color w:val="000000"/>
      <w:sz w:val="18"/>
      <w:szCs w:val="18"/>
    </w:rPr>
  </w:style>
  <w:style w:type="paragraph" w:styleId="1315" w:customStyle="1">
    <w:name w:val="正文列项_数字"/>
    <w:basedOn w:val="118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16" w:customStyle="1">
    <w:name w:val="xl39"/>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7" w:customStyle="1">
    <w:name w:val="xl37"/>
    <w:basedOn w:val="118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8" w:customStyle="1">
    <w:name w:val="xl32"/>
    <w:basedOn w:val="11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9" w:customStyle="1">
    <w:name w:val="font8"/>
    <w:basedOn w:val="1184"/>
    <w:uiPriority w:val="0"/>
    <w:qFormat/>
    <w:pPr>
      <w:jc w:val="left"/>
      <w:spacing w:before="100" w:beforeAutospacing="1" w:after="100" w:afterAutospacing="1"/>
      <w:widowControl/>
    </w:pPr>
    <w:rPr>
      <w:sz w:val="36"/>
      <w:szCs w:val="36"/>
    </w:rPr>
  </w:style>
  <w:style w:type="paragraph" w:styleId="1320" w:customStyle="1">
    <w:name w:val="Char"/>
    <w:basedOn w:val="1184"/>
    <w:uiPriority w:val="0"/>
    <w:qFormat/>
    <w:pPr>
      <w:tabs>
        <w:tab w:val="left" w:pos="360" w:leader="none"/>
      </w:tabs>
    </w:pPr>
    <w:rPr>
      <w:sz w:val="24"/>
    </w:rPr>
  </w:style>
  <w:style w:type="paragraph" w:styleId="1321" w:customStyle="1">
    <w:name w:val="Char Char Char Char Char Char Char Char Char Char Char Char Char Char Char Char"/>
    <w:basedOn w:val="1184"/>
    <w:uiPriority w:val="0"/>
    <w:qFormat/>
    <w:pPr>
      <w:jc w:val="center"/>
      <w:spacing w:after="160" w:line="240" w:lineRule="exact"/>
      <w:widowControl/>
    </w:pPr>
    <w:rPr>
      <w:rFonts w:ascii="宋体" w:hAnsi="宋体"/>
      <w:b/>
      <w:sz w:val="30"/>
      <w:szCs w:val="30"/>
      <w:lang w:eastAsia="en-US"/>
    </w:rPr>
  </w:style>
  <w:style w:type="paragraph" w:styleId="1322" w:customStyle="1">
    <w:name w:val="xl45"/>
    <w:basedOn w:val="118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323" w:customStyle="1">
    <w:name w:val="Char Char1 Char Char Char Char Char Char"/>
    <w:basedOn w:val="1184"/>
    <w:uiPriority w:val="0"/>
    <w:qFormat/>
    <w:pPr>
      <w:jc w:val="left"/>
      <w:spacing w:after="160" w:line="240" w:lineRule="exact"/>
      <w:widowControl/>
    </w:pPr>
    <w:rPr>
      <w:rFonts w:ascii="Verdana" w:hAnsi="Verdana" w:eastAsia="仿宋_GB2312"/>
      <w:sz w:val="24"/>
      <w:szCs w:val="20"/>
      <w:lang w:eastAsia="en-US"/>
    </w:rPr>
  </w:style>
  <w:style w:type="paragraph" w:styleId="1324" w:customStyle="1">
    <w:name w:val="Char Char1"/>
    <w:basedOn w:val="1199"/>
    <w:uiPriority w:val="0"/>
    <w:qFormat/>
    <w:rPr>
      <w:rFonts w:ascii="Tahoma" w:hAnsi="Tahoma"/>
      <w:sz w:val="24"/>
    </w:rPr>
  </w:style>
  <w:style w:type="paragraph" w:styleId="1325" w:customStyle="1">
    <w:name w:val="xl26"/>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326" w:customStyle="1">
    <w:name w:val="xl30"/>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27" w:customStyle="1">
    <w:name w:val="xl41"/>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328" w:customStyle="1">
    <w:name w:val="样式 宋体 五号 行距: 单倍行距"/>
    <w:basedOn w:val="1184"/>
    <w:uiPriority w:val="0"/>
    <w:qFormat/>
    <w:pPr>
      <w:jc w:val="left"/>
    </w:pPr>
    <w:rPr>
      <w:rFonts w:ascii="宋体" w:hAnsi="宋体"/>
      <w:szCs w:val="20"/>
    </w:rPr>
  </w:style>
  <w:style w:type="paragraph" w:styleId="1329" w:customStyle="1">
    <w:name w:val="Char1 Char Char Char1"/>
    <w:basedOn w:val="1184"/>
    <w:uiPriority w:val="0"/>
    <w:qFormat/>
    <w:rPr>
      <w:rFonts w:ascii="Tahoma" w:hAnsi="Tahoma" w:cs="仿宋_GB2312"/>
      <w:sz w:val="24"/>
      <w:szCs w:val="28"/>
    </w:rPr>
  </w:style>
  <w:style w:type="paragraph" w:styleId="1330" w:customStyle="1">
    <w:name w:val="四级条标题"/>
    <w:basedOn w:val="1331"/>
    <w:next w:val="1184"/>
    <w:uiPriority w:val="0"/>
    <w:qFormat/>
    <w:pPr>
      <w:numPr>
        <w:ilvl w:val="4"/>
      </w:numPr>
      <w:ind w:left="0" w:hanging="840"/>
      <w:tabs>
        <w:tab w:val="left" w:pos="360" w:leader="none"/>
        <w:tab w:val="left" w:pos="840" w:leader="none"/>
      </w:tabs>
      <w:outlineLvl w:val="4"/>
    </w:pPr>
  </w:style>
  <w:style w:type="paragraph" w:styleId="1331" w:customStyle="1">
    <w:name w:val="三级条标题"/>
    <w:basedOn w:val="1293"/>
    <w:next w:val="1184"/>
    <w:uiPriority w:val="0"/>
    <w:qFormat/>
    <w:pPr>
      <w:numPr>
        <w:ilvl w:val="3"/>
        <w:numId w:val="1"/>
      </w:numPr>
      <w:ind w:left="0" w:hanging="840"/>
      <w:outlineLvl w:val="3"/>
    </w:pPr>
  </w:style>
  <w:style w:type="paragraph" w:styleId="133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33" w:customStyle="1">
    <w:name w:val="样式 标题 2 + 宋体 五号 行距: 单倍行距"/>
    <w:basedOn w:val="1186"/>
    <w:uiPriority w:val="0"/>
    <w:qFormat/>
    <w:pPr>
      <w:numPr>
        <w:ilvl w:val="1"/>
        <w:numId w:val="4"/>
      </w:numPr>
      <w:jc w:val="left"/>
      <w:spacing w:before="260" w:after="260" w:line="240" w:lineRule="auto"/>
    </w:pPr>
    <w:rPr>
      <w:rFonts w:ascii="宋体" w:hAnsi="宋体" w:eastAsia="宋体"/>
      <w:bCs/>
      <w:sz w:val="21"/>
    </w:rPr>
  </w:style>
  <w:style w:type="paragraph" w:styleId="1334" w:customStyle="1">
    <w:name w:val="List Paragraph1"/>
    <w:basedOn w:val="1184"/>
    <w:uiPriority w:val="0"/>
    <w:qFormat/>
    <w:pPr>
      <w:ind w:firstLine="420"/>
    </w:pPr>
    <w:rPr>
      <w:rFonts w:ascii="Calibri" w:hAnsi="Calibri"/>
      <w:szCs w:val="22"/>
    </w:rPr>
  </w:style>
  <w:style w:type="paragraph" w:styleId="1335" w:customStyle="1">
    <w:name w:val="项目符号1"/>
    <w:basedOn w:val="1336"/>
    <w:uiPriority w:val="0"/>
    <w:qFormat/>
    <w:pPr>
      <w:ind w:left="-25" w:firstLine="0"/>
    </w:pPr>
  </w:style>
  <w:style w:type="paragraph" w:styleId="1336" w:customStyle="1">
    <w:name w:val="正文文本样式"/>
    <w:basedOn w:val="1184"/>
    <w:uiPriority w:val="0"/>
    <w:qFormat/>
    <w:pPr>
      <w:ind w:firstLine="482"/>
      <w:spacing w:line="360" w:lineRule="auto"/>
    </w:pPr>
    <w:rPr>
      <w:rFonts w:cs="宋体"/>
      <w:sz w:val="24"/>
      <w:szCs w:val="20"/>
    </w:rPr>
  </w:style>
  <w:style w:type="paragraph" w:styleId="1337" w:customStyle="1">
    <w:name w:val="xl27"/>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38" w:customStyle="1">
    <w:name w:val="font5"/>
    <w:basedOn w:val="1184"/>
    <w:uiPriority w:val="0"/>
    <w:qFormat/>
    <w:pPr>
      <w:jc w:val="left"/>
      <w:spacing w:before="100" w:beforeAutospacing="1" w:after="100" w:afterAutospacing="1"/>
      <w:widowControl/>
    </w:pPr>
    <w:rPr>
      <w:rFonts w:ascii="宋体" w:hAnsi="宋体" w:cs="宋体"/>
      <w:sz w:val="18"/>
      <w:szCs w:val="18"/>
    </w:rPr>
  </w:style>
  <w:style w:type="paragraph" w:styleId="1339" w:customStyle="1">
    <w:name w:val="五级条标题"/>
    <w:basedOn w:val="1330"/>
    <w:next w:val="1184"/>
    <w:uiPriority w:val="0"/>
    <w:qFormat/>
    <w:pPr>
      <w:numPr>
        <w:ilvl w:val="5"/>
      </w:numPr>
      <w:ind w:left="0" w:hanging="840"/>
      <w:outlineLvl w:val="5"/>
    </w:pPr>
  </w:style>
  <w:style w:type="paragraph" w:styleId="1340" w:customStyle="1">
    <w:name w:val="xl49"/>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41" w:customStyle="1">
    <w:name w:val="文档正文"/>
    <w:basedOn w:val="1184"/>
    <w:uiPriority w:val="0"/>
    <w:qFormat/>
    <w:pPr>
      <w:spacing w:before="120" w:after="120" w:line="180" w:lineRule="auto"/>
    </w:pPr>
    <w:rPr>
      <w:rFonts w:ascii="Arial" w:hAnsi="Arial"/>
      <w:szCs w:val="20"/>
    </w:rPr>
  </w:style>
  <w:style w:type="paragraph" w:styleId="1342" w:customStyle="1">
    <w:name w:val="xl33"/>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43" w:customStyle="1">
    <w:name w:val="xl42"/>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44" w:customStyle="1">
    <w:name w:val="Char Char Char1 Char"/>
    <w:basedOn w:val="1184"/>
    <w:uiPriority w:val="0"/>
    <w:qFormat/>
    <w:rPr>
      <w:rFonts w:ascii="Tahoma" w:hAnsi="Tahoma"/>
      <w:sz w:val="24"/>
      <w:szCs w:val="20"/>
    </w:rPr>
  </w:style>
  <w:style w:type="paragraph" w:styleId="1345" w:customStyle="1">
    <w:name w:val="xl44"/>
    <w:basedOn w:val="118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46" w:customStyle="1">
    <w:name w:val="1名"/>
    <w:basedOn w:val="1184"/>
    <w:uiPriority w:val="0"/>
    <w:qFormat/>
    <w:pPr>
      <w:numPr>
        <w:ilvl w:val="0"/>
        <w:numId w:val="5"/>
      </w:numPr>
      <w:spacing w:before="120"/>
    </w:pPr>
    <w:rPr>
      <w:rFonts w:ascii="宋体"/>
      <w:sz w:val="28"/>
      <w:szCs w:val="20"/>
    </w:rPr>
  </w:style>
  <w:style w:type="paragraph" w:styleId="1347" w:customStyle="1">
    <w:name w:val="font9"/>
    <w:basedOn w:val="118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48" w:customStyle="1">
    <w:name w:val="Char Char Char1 Char1"/>
    <w:basedOn w:val="1184"/>
    <w:uiPriority w:val="0"/>
    <w:qFormat/>
    <w:rPr>
      <w:rFonts w:ascii="Tahoma" w:hAnsi="Tahoma"/>
      <w:sz w:val="24"/>
      <w:szCs w:val="20"/>
    </w:rPr>
  </w:style>
  <w:style w:type="paragraph" w:styleId="1349" w:customStyle="1">
    <w:name w:val="Char Char Char Char Char Char Char Char Char Char"/>
    <w:basedOn w:val="1184"/>
    <w:uiPriority w:val="0"/>
    <w:qFormat/>
  </w:style>
  <w:style w:type="paragraph" w:styleId="1350" w:customStyle="1">
    <w:name w:val="Char Char1 Char Char Char Char Char Char Char Char"/>
    <w:basedOn w:val="1184"/>
    <w:uiPriority w:val="0"/>
    <w:qFormat/>
    <w:pPr>
      <w:jc w:val="left"/>
      <w:spacing w:after="160" w:line="240" w:lineRule="exact"/>
      <w:widowControl/>
    </w:pPr>
    <w:rPr>
      <w:rFonts w:ascii="Verdana" w:hAnsi="Verdana"/>
      <w:sz w:val="20"/>
      <w:szCs w:val="20"/>
      <w:lang w:eastAsia="en-US"/>
    </w:rPr>
  </w:style>
  <w:style w:type="paragraph" w:styleId="1351" w:customStyle="1">
    <w:name w:val="Char1"/>
    <w:basedOn w:val="1184"/>
    <w:uiPriority w:val="0"/>
    <w:qFormat/>
    <w:pPr>
      <w:tabs>
        <w:tab w:val="left" w:pos="360" w:leader="none"/>
      </w:tabs>
    </w:pPr>
    <w:rPr>
      <w:sz w:val="24"/>
    </w:rPr>
  </w:style>
  <w:style w:type="paragraph" w:styleId="1352" w:customStyle="1">
    <w:name w:val="正文列项_字母"/>
    <w:basedOn w:val="118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53" w:customStyle="1">
    <w:name w:val="xl28"/>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54" w:customStyle="1">
    <w:name w:val="xl47"/>
    <w:basedOn w:val="118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5" w:customStyle="1">
    <w:name w:val="默认段落字体 Para Char Char Char Char"/>
    <w:basedOn w:val="1184"/>
    <w:uiPriority w:val="0"/>
    <w:qFormat/>
    <w:rPr>
      <w:rFonts w:ascii="Arial" w:hAnsi="Arial" w:cs="Arial"/>
      <w:szCs w:val="21"/>
    </w:rPr>
  </w:style>
  <w:style w:type="paragraph" w:styleId="1356" w:customStyle="1">
    <w:name w:val="xl48"/>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57" w:customStyle="1">
    <w:name w:val="xl31"/>
    <w:basedOn w:val="11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58" w:customStyle="1">
    <w:name w:val="xl53"/>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59" w:customStyle="1">
    <w:name w:val="Char Char Char"/>
    <w:basedOn w:val="1184"/>
    <w:uiPriority w:val="0"/>
    <w:qFormat/>
    <w:rPr>
      <w:rFonts w:ascii="Tahoma" w:hAnsi="Tahoma"/>
      <w:sz w:val="24"/>
      <w:szCs w:val="20"/>
    </w:rPr>
  </w:style>
  <w:style w:type="paragraph" w:styleId="1360" w:customStyle="1">
    <w:name w:val="xl50"/>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61" w:customStyle="1">
    <w:name w:val="缺省文本"/>
    <w:basedOn w:val="1184"/>
    <w:uiPriority w:val="0"/>
    <w:qFormat/>
    <w:pPr>
      <w:jc w:val="left"/>
    </w:pPr>
    <w:rPr>
      <w:sz w:val="24"/>
    </w:rPr>
  </w:style>
  <w:style w:type="paragraph" w:styleId="1362" w:customStyle="1">
    <w:name w:val="Char Char Char1"/>
    <w:basedOn w:val="1184"/>
    <w:uiPriority w:val="0"/>
    <w:qFormat/>
    <w:rPr>
      <w:rFonts w:ascii="Tahoma" w:hAnsi="Tahoma"/>
      <w:sz w:val="24"/>
      <w:szCs w:val="20"/>
    </w:rPr>
  </w:style>
  <w:style w:type="paragraph" w:styleId="1363" w:customStyle="1">
    <w:name w:val="Char Char Char Char Char Char Char1"/>
    <w:basedOn w:val="1184"/>
    <w:uiPriority w:val="0"/>
    <w:qFormat/>
    <w:pPr>
      <w:ind w:firstLine="200"/>
      <w:spacing w:line="360" w:lineRule="auto"/>
    </w:pPr>
    <w:rPr>
      <w:rFonts w:eastAsia="仿宋_GB2312"/>
      <w:sz w:val="24"/>
    </w:rPr>
  </w:style>
  <w:style w:type="paragraph" w:styleId="1364" w:customStyle="1">
    <w:name w:val="xl51"/>
    <w:basedOn w:val="11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65" w:customStyle="1">
    <w:name w:val="样式2"/>
    <w:basedOn w:val="1223"/>
    <w:uiPriority w:val="0"/>
    <w:qFormat/>
    <w:pPr>
      <w:jc w:val="center"/>
      <w:spacing w:line="360" w:lineRule="auto"/>
    </w:pPr>
    <w:rPr>
      <w:sz w:val="24"/>
    </w:rPr>
  </w:style>
  <w:style w:type="paragraph" w:styleId="1366" w:customStyle="1">
    <w:name w:val="xl24"/>
    <w:basedOn w:val="11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67" w:customStyle="1">
    <w:name w:val="xl29"/>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68" w:customStyle="1">
    <w:name w:val="正文 + 楷体_GB2312"/>
    <w:basedOn w:val="1184"/>
    <w:uiPriority w:val="0"/>
    <w:qFormat/>
    <w:pPr>
      <w:jc w:val="left"/>
      <w:widowControl/>
    </w:pPr>
    <w:rPr>
      <w:rFonts w:ascii="楷体_GB2312" w:eastAsia="楷体_GB2312" w:cs="Arial"/>
      <w:sz w:val="24"/>
    </w:rPr>
  </w:style>
  <w:style w:type="paragraph" w:styleId="1369" w:customStyle="1">
    <w:name w:val="xl34"/>
    <w:basedOn w:val="11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70" w:customStyle="1">
    <w:name w:val="1 Char Char Char Char"/>
    <w:basedOn w:val="1184"/>
    <w:uiPriority w:val="0"/>
    <w:qFormat/>
    <w:rPr>
      <w:rFonts w:ascii="Tahoma" w:hAnsi="Tahoma"/>
      <w:sz w:val="24"/>
      <w:szCs w:val="20"/>
    </w:rPr>
  </w:style>
  <w:style w:type="paragraph" w:styleId="1371" w:customStyle="1">
    <w:name w:val="Default"/>
    <w:next w:val="1184"/>
    <w:uiPriority w:val="0"/>
    <w:qFormat/>
    <w:pPr>
      <w:widowControl w:val="off"/>
    </w:pPr>
    <w:rPr>
      <w:rFonts w:ascii="Symbol" w:hAnsi="Symbol" w:eastAsia="宋体" w:cs="Symbol"/>
      <w:color w:val="000000"/>
      <w:sz w:val="24"/>
      <w:szCs w:val="24"/>
      <w:lang w:val="en-US" w:eastAsia="zh-CN" w:bidi="ar-SA"/>
    </w:rPr>
  </w:style>
  <w:style w:type="paragraph" w:styleId="1372" w:customStyle="1">
    <w:name w:val="列出段落1"/>
    <w:basedOn w:val="1184"/>
    <w:uiPriority w:val="0"/>
    <w:qFormat/>
    <w:pPr>
      <w:ind w:firstLine="420"/>
    </w:pPr>
    <w:rPr>
      <w:rFonts w:ascii="Calibri" w:hAnsi="Calibri"/>
      <w:szCs w:val="22"/>
    </w:rPr>
  </w:style>
  <w:style w:type="paragraph" w:styleId="1373" w:customStyle="1">
    <w:name w:val="default"/>
    <w:basedOn w:val="1184"/>
    <w:uiPriority w:val="0"/>
    <w:qFormat/>
    <w:pPr>
      <w:jc w:val="left"/>
      <w:spacing w:before="100" w:beforeAutospacing="1" w:after="100" w:afterAutospacing="1"/>
      <w:widowControl/>
    </w:pPr>
    <w:rPr>
      <w:rFonts w:ascii="宋体" w:hAnsi="宋体" w:cs="宋体"/>
      <w:sz w:val="24"/>
    </w:rPr>
  </w:style>
  <w:style w:type="paragraph" w:styleId="1374" w:customStyle="1">
    <w:name w:val="字元 字元1"/>
    <w:basedOn w:val="1184"/>
    <w:uiPriority w:val="0"/>
    <w:qFormat/>
    <w:rPr>
      <w:rFonts w:ascii="Tahoma" w:hAnsi="Tahoma"/>
      <w:sz w:val="24"/>
      <w:szCs w:val="20"/>
    </w:rPr>
  </w:style>
  <w:style w:type="paragraph" w:styleId="1375" w:customStyle="1">
    <w:name w:val="_Style 160"/>
    <w:uiPriority w:val="0"/>
    <w:qFormat/>
    <w:rPr>
      <w:rFonts w:ascii="Times New Roman" w:hAnsi="Times New Roman" w:eastAsia="宋体" w:cs="Times New Roman"/>
      <w:sz w:val="21"/>
      <w:szCs w:val="24"/>
      <w:lang w:val="en-US" w:eastAsia="zh-CN" w:bidi="ar-SA"/>
    </w:rPr>
  </w:style>
  <w:style w:type="paragraph" w:styleId="1376" w:customStyle="1">
    <w:name w:val="项目编号3"/>
    <w:basedOn w:val="1336"/>
    <w:uiPriority w:val="0"/>
    <w:qFormat/>
    <w:pPr>
      <w:numPr>
        <w:ilvl w:val="0"/>
        <w:numId w:val="6"/>
      </w:numPr>
    </w:pPr>
  </w:style>
  <w:style w:type="paragraph" w:styleId="1377" w:customStyle="1">
    <w:name w:val="Char21"/>
    <w:basedOn w:val="1184"/>
    <w:uiPriority w:val="0"/>
    <w:qFormat/>
    <w:rPr>
      <w:rFonts w:ascii="Tahoma" w:hAnsi="Tahoma"/>
      <w:sz w:val="24"/>
      <w:szCs w:val="20"/>
    </w:rPr>
  </w:style>
  <w:style w:type="paragraph" w:styleId="1378" w:customStyle="1">
    <w:name w:val="表格文字"/>
    <w:basedOn w:val="1203"/>
    <w:uiPriority w:val="0"/>
    <w:qFormat/>
    <w:pPr>
      <w:ind w:firstLine="0"/>
      <w:spacing w:before="20" w:after="20" w:line="240" w:lineRule="auto"/>
    </w:pPr>
    <w:rPr>
      <w:rFonts w:ascii="Century Gothic" w:hAnsi="Century Gothic"/>
      <w:sz w:val="20"/>
      <w:szCs w:val="20"/>
    </w:rPr>
  </w:style>
  <w:style w:type="paragraph" w:styleId="1379" w:customStyle="1">
    <w:name w:val="Char Char Char Char Char Char Char Char Char Char1"/>
    <w:basedOn w:val="1184"/>
    <w:uiPriority w:val="0"/>
    <w:qFormat/>
    <w:rPr>
      <w:rFonts w:ascii="宋体" w:hAnsi="宋体" w:cs="Courier New"/>
      <w:sz w:val="32"/>
      <w:szCs w:val="32"/>
    </w:rPr>
  </w:style>
  <w:style w:type="paragraph" w:styleId="1380" w:customStyle="1">
    <w:name w:val="正文文本样式 加粗"/>
    <w:basedOn w:val="1336"/>
    <w:uiPriority w:val="0"/>
    <w:qFormat/>
    <w:rPr>
      <w:b/>
    </w:rPr>
  </w:style>
  <w:style w:type="paragraph" w:styleId="1381" w:customStyle="1">
    <w:name w:val="Char2 Char Char Char Char Char Char"/>
    <w:basedOn w:val="1184"/>
    <w:uiPriority w:val="0"/>
    <w:qFormat/>
    <w:pPr>
      <w:jc w:val="center"/>
      <w:spacing w:line="400" w:lineRule="exact"/>
      <w:widowControl/>
    </w:pPr>
  </w:style>
  <w:style w:type="paragraph" w:styleId="1382" w:customStyle="1">
    <w:name w:val="Char Char4"/>
    <w:basedOn w:val="1184"/>
    <w:uiPriority w:val="0"/>
    <w:qFormat/>
    <w:pPr>
      <w:jc w:val="center"/>
      <w:spacing w:line="400" w:lineRule="exact"/>
      <w:widowControl/>
    </w:pPr>
  </w:style>
  <w:style w:type="paragraph" w:styleId="1383" w:customStyle="1">
    <w:name w:val="Char3 Char Char Char1"/>
    <w:basedOn w:val="1184"/>
    <w:uiPriority w:val="0"/>
    <w:qFormat/>
    <w:rPr>
      <w:rFonts w:ascii="Tahoma" w:hAnsi="Tahoma"/>
      <w:sz w:val="24"/>
      <w:szCs w:val="20"/>
    </w:rPr>
  </w:style>
  <w:style w:type="paragraph" w:styleId="138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385" w:customStyle="1">
    <w:name w:val="22222222222222"/>
    <w:basedOn w:val="1184"/>
    <w:uiPriority w:val="0"/>
    <w:qFormat/>
    <w:pPr>
      <w:ind w:firstLine="480"/>
      <w:jc w:val="left"/>
      <w:spacing w:line="360" w:lineRule="auto"/>
      <w:widowControl/>
    </w:pPr>
    <w:rPr>
      <w:color w:val="ff0000"/>
      <w:sz w:val="24"/>
      <w:szCs w:val="20"/>
    </w:rPr>
  </w:style>
  <w:style w:type="character" w:styleId="1386" w:customStyle="1">
    <w:name w:val="中等深浅网格 1 - 强调文字颜色 2 Char"/>
    <w:link w:val="1387"/>
    <w:uiPriority w:val="0"/>
    <w:qFormat/>
    <w:rPr>
      <w:sz w:val="21"/>
      <w:szCs w:val="24"/>
      <w:lang w:val="zh-CN" w:eastAsia="zh-CN" w:bidi="ar-SA"/>
    </w:rPr>
  </w:style>
  <w:style w:type="paragraph" w:styleId="1387" w:customStyle="1">
    <w:name w:val="1"/>
    <w:link w:val="1386"/>
    <w:uiPriority w:val="34"/>
    <w:qFormat/>
    <w:rPr>
      <w:rFonts w:ascii="Times New Roman" w:hAnsi="Times New Roman" w:eastAsia="宋体" w:cs="Times New Roman"/>
      <w:sz w:val="21"/>
      <w:szCs w:val="24"/>
      <w:lang w:val="zh-CN" w:eastAsia="zh-CN" w:bidi="ar-SA"/>
    </w:rPr>
  </w:style>
  <w:style w:type="paragraph" w:styleId="1388" w:customStyle="1">
    <w:name w:val="图文"/>
    <w:basedOn w:val="1184"/>
    <w:uiPriority w:val="0"/>
    <w:qFormat/>
    <w:pPr>
      <w:spacing w:after="50" w:line="360" w:lineRule="auto"/>
    </w:pPr>
    <w:rPr>
      <w:sz w:val="24"/>
    </w:rPr>
  </w:style>
  <w:style w:type="paragraph" w:styleId="1389" w:customStyle="1">
    <w:name w:val="xl23"/>
    <w:basedOn w:val="1184"/>
    <w:uiPriority w:val="0"/>
    <w:qFormat/>
    <w:pPr>
      <w:spacing w:before="100" w:beforeAutospacing="1" w:after="100" w:afterAutospacing="1" w:line="360" w:lineRule="auto"/>
      <w:widowControl/>
    </w:pPr>
    <w:rPr>
      <w:sz w:val="24"/>
      <w:szCs w:val="20"/>
    </w:rPr>
  </w:style>
  <w:style w:type="paragraph" w:styleId="1390" w:customStyle="1">
    <w:name w:val="正文表格"/>
    <w:basedOn w:val="1184"/>
    <w:link w:val="1391"/>
    <w:uiPriority w:val="0"/>
    <w:qFormat/>
    <w:pPr>
      <w:jc w:val="left"/>
    </w:pPr>
    <w:rPr>
      <w:rFonts w:ascii="宋体" w:hAnsi="宋体"/>
      <w:color w:val="000000"/>
      <w:szCs w:val="21"/>
    </w:rPr>
  </w:style>
  <w:style w:type="character" w:styleId="1391" w:customStyle="1">
    <w:name w:val="正文表格 Char"/>
    <w:link w:val="1390"/>
    <w:uiPriority w:val="0"/>
    <w:qFormat/>
    <w:rPr>
      <w:rFonts w:ascii="宋体" w:hAnsi="宋体"/>
      <w:color w:val="000000"/>
      <w:sz w:val="21"/>
      <w:szCs w:val="21"/>
    </w:rPr>
  </w:style>
  <w:style w:type="paragraph" w:styleId="1392" w:customStyle="1">
    <w:name w:val="正文重点"/>
    <w:basedOn w:val="1184"/>
    <w:link w:val="1393"/>
    <w:uiPriority w:val="0"/>
    <w:qFormat/>
    <w:pPr>
      <w:ind w:firstLine="482"/>
      <w:jc w:val="left"/>
      <w:spacing w:line="360" w:lineRule="auto"/>
    </w:pPr>
    <w:rPr>
      <w:b/>
      <w:sz w:val="24"/>
      <w:szCs w:val="20"/>
    </w:rPr>
  </w:style>
  <w:style w:type="character" w:styleId="1393" w:customStyle="1">
    <w:name w:val="正文重点 Char"/>
    <w:link w:val="1392"/>
    <w:uiPriority w:val="0"/>
    <w:qFormat/>
    <w:rPr>
      <w:b/>
      <w:sz w:val="24"/>
    </w:rPr>
  </w:style>
  <w:style w:type="paragraph" w:styleId="1394" w:customStyle="1">
    <w:name w:val="标题1-附件"/>
    <w:basedOn w:val="1185"/>
    <w:uiPriority w:val="0"/>
    <w:qFormat/>
    <w:pPr>
      <w:jc w:val="left"/>
    </w:pPr>
    <w:rPr>
      <w:sz w:val="24"/>
      <w:szCs w:val="24"/>
    </w:rPr>
  </w:style>
  <w:style w:type="paragraph" w:styleId="1395" w:customStyle="1">
    <w:name w:val="正文小标题"/>
    <w:basedOn w:val="1184"/>
    <w:next w:val="1197"/>
    <w:link w:val="1396"/>
    <w:uiPriority w:val="0"/>
    <w:qFormat/>
    <w:pPr>
      <w:ind w:firstLine="482"/>
      <w:jc w:val="left"/>
      <w:spacing w:before="312" w:after="312"/>
    </w:pPr>
    <w:rPr>
      <w:rFonts w:ascii="宋体" w:hAnsi="宋体"/>
      <w:b/>
      <w:i/>
      <w:color w:val="ff0000"/>
      <w:sz w:val="24"/>
      <w:szCs w:val="20"/>
    </w:rPr>
  </w:style>
  <w:style w:type="character" w:styleId="1396" w:customStyle="1">
    <w:name w:val="正文小标题 Char"/>
    <w:link w:val="1395"/>
    <w:uiPriority w:val="0"/>
    <w:qFormat/>
    <w:rPr>
      <w:rFonts w:ascii="宋体" w:hAnsi="宋体"/>
      <w:b/>
      <w:i/>
      <w:color w:val="ff0000"/>
      <w:sz w:val="24"/>
    </w:rPr>
  </w:style>
  <w:style w:type="paragraph" w:styleId="1397" w:customStyle="1">
    <w:name w:val="正文大标题"/>
    <w:basedOn w:val="1395"/>
    <w:next w:val="1197"/>
    <w:link w:val="1398"/>
    <w:uiPriority w:val="0"/>
    <w:qFormat/>
    <w:pPr>
      <w:jc w:val="center"/>
    </w:pPr>
    <w:rPr>
      <w:i w:val="0"/>
      <w:color w:val="000000"/>
      <w:sz w:val="28"/>
      <w:szCs w:val="21"/>
    </w:rPr>
  </w:style>
  <w:style w:type="character" w:styleId="1398" w:customStyle="1">
    <w:name w:val="正文大标题 Char"/>
    <w:link w:val="1397"/>
    <w:uiPriority w:val="0"/>
    <w:qFormat/>
    <w:rPr>
      <w:rFonts w:ascii="宋体" w:hAnsi="宋体"/>
      <w:b/>
      <w:color w:val="000000"/>
      <w:sz w:val="28"/>
      <w:szCs w:val="21"/>
    </w:rPr>
  </w:style>
  <w:style w:type="paragraph" w:styleId="1399" w:customStyle="1">
    <w:name w:val="注释"/>
    <w:basedOn w:val="1184"/>
    <w:link w:val="1400"/>
    <w:uiPriority w:val="0"/>
    <w:qFormat/>
    <w:pPr>
      <w:ind w:left="420" w:hanging="420"/>
      <w:jc w:val="left"/>
    </w:pPr>
    <w:rPr>
      <w:rFonts w:ascii="宋体" w:hAnsi="宋体"/>
      <w:szCs w:val="21"/>
    </w:rPr>
  </w:style>
  <w:style w:type="character" w:styleId="1400" w:customStyle="1">
    <w:name w:val="注释 Char"/>
    <w:link w:val="1399"/>
    <w:uiPriority w:val="0"/>
    <w:qFormat/>
    <w:rPr>
      <w:rFonts w:ascii="宋体" w:hAnsi="宋体"/>
      <w:sz w:val="21"/>
      <w:szCs w:val="21"/>
    </w:rPr>
  </w:style>
  <w:style w:type="paragraph" w:styleId="1401" w:customStyle="1">
    <w:name w:val="正文须知-1级"/>
    <w:basedOn w:val="1184"/>
    <w:next w:val="1184"/>
    <w:uiPriority w:val="0"/>
    <w:qFormat/>
    <w:pPr>
      <w:numPr>
        <w:ilvl w:val="0"/>
        <w:numId w:val="7"/>
      </w:numPr>
      <w:spacing w:line="300" w:lineRule="auto"/>
    </w:pPr>
    <w:rPr>
      <w:rFonts w:ascii="宋体" w:hAnsi="Calibri"/>
      <w:sz w:val="24"/>
      <w:szCs w:val="21"/>
    </w:rPr>
  </w:style>
  <w:style w:type="paragraph" w:styleId="1402" w:customStyle="1">
    <w:name w:val="正文须知-2级"/>
    <w:basedOn w:val="1184"/>
    <w:uiPriority w:val="0"/>
    <w:qFormat/>
    <w:pPr>
      <w:numPr>
        <w:ilvl w:val="1"/>
        <w:numId w:val="7"/>
      </w:numPr>
      <w:spacing w:line="300" w:lineRule="auto"/>
    </w:pPr>
    <w:rPr>
      <w:rFonts w:ascii="宋体" w:hAnsi="Calibri"/>
      <w:sz w:val="24"/>
      <w:szCs w:val="21"/>
    </w:rPr>
  </w:style>
  <w:style w:type="paragraph" w:styleId="1403" w:customStyle="1">
    <w:name w:val="正文须知-3级"/>
    <w:basedOn w:val="1184"/>
    <w:uiPriority w:val="0"/>
    <w:qFormat/>
    <w:pPr>
      <w:numPr>
        <w:ilvl w:val="2"/>
        <w:numId w:val="7"/>
      </w:numPr>
      <w:ind w:hanging="355"/>
      <w:spacing w:line="300" w:lineRule="auto"/>
    </w:pPr>
    <w:rPr>
      <w:rFonts w:ascii="宋体" w:hAnsi="Calibri"/>
      <w:sz w:val="24"/>
      <w:szCs w:val="21"/>
    </w:rPr>
  </w:style>
  <w:style w:type="character" w:styleId="1404" w:customStyle="1">
    <w:name w:val="纯文本 字符"/>
    <w:uiPriority w:val="99"/>
    <w:qFormat/>
    <w:rPr>
      <w:rFonts w:ascii="宋体" w:hAnsi="Courier New" w:eastAsia="宋体" w:cs="Times New Roman"/>
      <w:sz w:val="21"/>
      <w:szCs w:val="21"/>
      <w:lang w:val="en-US" w:eastAsia="zh-CN" w:bidi="ar-SA"/>
    </w:rPr>
  </w:style>
  <w:style w:type="paragraph" w:styleId="1405" w:customStyle="1">
    <w:name w:val="表格1"/>
    <w:basedOn w:val="1184"/>
    <w:uiPriority w:val="0"/>
    <w:qFormat/>
    <w:pPr>
      <w:ind w:firstLine="480"/>
      <w:jc w:val="center"/>
    </w:pPr>
    <w:rPr>
      <w:sz w:val="24"/>
      <w:szCs w:val="20"/>
    </w:rPr>
  </w:style>
  <w:style w:type="character" w:styleId="1406" w:customStyle="1">
    <w:name w:val="纯文本 字符1"/>
    <w:uiPriority w:val="0"/>
    <w:qFormat/>
    <w:rPr>
      <w:rFonts w:ascii="宋体" w:hAnsi="Courier New"/>
    </w:rPr>
  </w:style>
  <w:style w:type="character" w:styleId="1407" w:customStyle="1">
    <w:name w:val="bjh-p"/>
    <w:uiPriority w:val="0"/>
    <w:qFormat/>
  </w:style>
  <w:style w:type="paragraph" w:styleId="1408" w:customStyle="1">
    <w:name w:val="无标题条"/>
    <w:next w:val="1184"/>
    <w:uiPriority w:val="0"/>
    <w:qFormat/>
    <w:pPr>
      <w:jc w:val="both"/>
    </w:pPr>
    <w:rPr>
      <w:rFonts w:ascii="Times New Roman" w:hAnsi="Times New Roman" w:eastAsia="宋体" w:cs="Times New Roman"/>
      <w:sz w:val="21"/>
      <w:lang w:val="en-US" w:eastAsia="zh-CN" w:bidi="ar-SA"/>
    </w:rPr>
  </w:style>
  <w:style w:type="character" w:styleId="1409" w:customStyle="1">
    <w:name w:val="正文格式 Char"/>
    <w:link w:val="1410"/>
    <w:uiPriority w:val="0"/>
    <w:qFormat/>
    <w:rPr>
      <w:rFonts w:ascii="宋体" w:hAnsi="宋体"/>
      <w:sz w:val="24"/>
      <w:szCs w:val="24"/>
      <w:lang w:val="en-GB"/>
    </w:rPr>
  </w:style>
  <w:style w:type="paragraph" w:styleId="1410" w:customStyle="1">
    <w:name w:val="正文格式"/>
    <w:basedOn w:val="1184"/>
    <w:link w:val="1409"/>
    <w:uiPriority w:val="0"/>
    <w:qFormat/>
    <w:pPr>
      <w:ind w:firstLine="480"/>
      <w:spacing w:line="360" w:lineRule="auto"/>
    </w:pPr>
    <w:rPr>
      <w:rFonts w:ascii="宋体" w:hAnsi="宋体"/>
      <w:sz w:val="24"/>
      <w:lang w:val="en-GB"/>
    </w:rPr>
  </w:style>
  <w:style w:type="character" w:styleId="1411" w:customStyle="1">
    <w:name w:val="标题 3 Char"/>
    <w:uiPriority w:val="0"/>
    <w:qFormat/>
    <w:rPr>
      <w:rFonts w:ascii="宋体" w:eastAsia="宋体"/>
      <w:b/>
      <w:sz w:val="24"/>
      <w:u w:val="single"/>
      <w:lang w:val="en-US" w:eastAsia="zh-CN" w:bidi="ar-SA"/>
    </w:rPr>
  </w:style>
  <w:style w:type="character" w:styleId="1412" w:customStyle="1">
    <w:name w:val="正文缩进 Char"/>
    <w:uiPriority w:val="0"/>
    <w:qFormat/>
    <w:rPr>
      <w:rFonts w:ascii="宋体" w:eastAsia="宋体"/>
      <w:sz w:val="24"/>
      <w:szCs w:val="24"/>
      <w:lang w:val="en-US" w:eastAsia="zh-CN" w:bidi="ar-SA"/>
    </w:rPr>
  </w:style>
  <w:style w:type="character" w:styleId="1413" w:customStyle="1">
    <w:name w:val="Char Char111"/>
    <w:uiPriority w:val="0"/>
    <w:qFormat/>
    <w:rPr>
      <w:rFonts w:ascii="宋体" w:eastAsia="宋体"/>
      <w:b/>
      <w:sz w:val="24"/>
      <w:u w:val="single"/>
      <w:lang w:val="en-US" w:eastAsia="zh-CN" w:bidi="ar-SA"/>
    </w:rPr>
  </w:style>
  <w:style w:type="character" w:styleId="1414" w:customStyle="1">
    <w:name w:val="正文文本缩进 Char"/>
    <w:uiPriority w:val="0"/>
    <w:qFormat/>
    <w:rPr>
      <w:rFonts w:eastAsia="宋体"/>
      <w:sz w:val="24"/>
      <w:szCs w:val="24"/>
      <w:lang w:val="en-US" w:eastAsia="zh-CN" w:bidi="ar-SA"/>
    </w:rPr>
  </w:style>
  <w:style w:type="character" w:styleId="1415" w:customStyle="1">
    <w:name w:val="列出段落 Char"/>
    <w:uiPriority w:val="0"/>
    <w:qFormat/>
    <w:rPr>
      <w:rFonts w:ascii="Calibri" w:hAnsi="Calibri" w:eastAsia="宋体"/>
      <w:sz w:val="21"/>
      <w:szCs w:val="22"/>
      <w:lang w:val="en-US" w:eastAsia="zh-CN" w:bidi="ar-SA"/>
    </w:rPr>
  </w:style>
  <w:style w:type="character" w:styleId="1416" w:customStyle="1">
    <w:name w:val="页眉 Char"/>
    <w:uiPriority w:val="0"/>
    <w:qFormat/>
    <w:rPr>
      <w:rFonts w:eastAsia="宋体"/>
      <w:sz w:val="18"/>
      <w:szCs w:val="18"/>
      <w:lang w:val="en-US" w:eastAsia="zh-CN" w:bidi="ar-SA"/>
    </w:rPr>
  </w:style>
  <w:style w:type="character" w:styleId="1417" w:customStyle="1">
    <w:name w:val="标题 2 Char"/>
    <w:uiPriority w:val="0"/>
    <w:qFormat/>
    <w:rPr>
      <w:rFonts w:ascii="Arial" w:hAnsi="Arial" w:eastAsia="黑体"/>
      <w:b/>
      <w:sz w:val="30"/>
      <w:lang w:val="en-US" w:eastAsia="zh-CN" w:bidi="ar-SA"/>
    </w:rPr>
  </w:style>
  <w:style w:type="paragraph" w:styleId="1418" w:customStyle="1">
    <w:name w:val="字元 字元2"/>
    <w:basedOn w:val="1184"/>
    <w:uiPriority w:val="0"/>
    <w:qFormat/>
    <w:rPr>
      <w:rFonts w:ascii="Tahoma" w:hAnsi="Tahoma"/>
      <w:sz w:val="24"/>
      <w:szCs w:val="20"/>
    </w:rPr>
  </w:style>
  <w:style w:type="paragraph" w:styleId="1419" w:customStyle="1">
    <w:name w:val="Char3 Char Char Char2"/>
    <w:basedOn w:val="1184"/>
    <w:uiPriority w:val="0"/>
    <w:qFormat/>
    <w:rPr>
      <w:rFonts w:ascii="Tahoma" w:hAnsi="Tahoma"/>
      <w:sz w:val="24"/>
      <w:szCs w:val="20"/>
    </w:rPr>
  </w:style>
  <w:style w:type="paragraph" w:styleId="1420" w:customStyle="1">
    <w:name w:val="正文文本缩进2"/>
    <w:basedOn w:val="1184"/>
    <w:uiPriority w:val="0"/>
    <w:qFormat/>
    <w:pPr>
      <w:ind w:firstLine="480"/>
      <w:spacing w:line="480" w:lineRule="exact"/>
    </w:pPr>
    <w:rPr>
      <w:rFonts w:ascii="宋体" w:hAnsi="宋体"/>
      <w:sz w:val="24"/>
      <w:lang w:val="zh-CN"/>
    </w:rPr>
  </w:style>
  <w:style w:type="paragraph" w:styleId="1421" w:customStyle="1">
    <w:name w:val="Char3"/>
    <w:basedOn w:val="1184"/>
    <w:uiPriority w:val="0"/>
    <w:qFormat/>
    <w:pPr>
      <w:tabs>
        <w:tab w:val="left" w:pos="360" w:leader="none"/>
      </w:tabs>
    </w:pPr>
    <w:rPr>
      <w:sz w:val="24"/>
    </w:rPr>
  </w:style>
  <w:style w:type="paragraph" w:styleId="1422" w:customStyle="1">
    <w:name w:val="Char Char Char Char Char Char Char Char Char Char Char Char Char Char Char Char1"/>
    <w:basedOn w:val="1184"/>
    <w:uiPriority w:val="0"/>
    <w:qFormat/>
    <w:pPr>
      <w:jc w:val="center"/>
      <w:spacing w:after="160" w:line="240" w:lineRule="exact"/>
      <w:widowControl/>
    </w:pPr>
    <w:rPr>
      <w:rFonts w:ascii="宋体" w:hAnsi="宋体"/>
      <w:b/>
      <w:sz w:val="30"/>
      <w:szCs w:val="30"/>
      <w:lang w:eastAsia="en-US"/>
    </w:rPr>
  </w:style>
  <w:style w:type="paragraph" w:styleId="1423" w:customStyle="1">
    <w:name w:val="Char Char1 Char Char Char Char Char Char1"/>
    <w:basedOn w:val="1184"/>
    <w:uiPriority w:val="0"/>
    <w:qFormat/>
    <w:pPr>
      <w:jc w:val="left"/>
      <w:spacing w:after="160" w:line="240" w:lineRule="exact"/>
      <w:widowControl/>
    </w:pPr>
    <w:rPr>
      <w:rFonts w:ascii="Verdana" w:hAnsi="Verdana" w:eastAsia="仿宋_GB2312"/>
      <w:sz w:val="24"/>
      <w:szCs w:val="20"/>
      <w:lang w:eastAsia="en-US"/>
    </w:rPr>
  </w:style>
  <w:style w:type="paragraph" w:styleId="1424" w:customStyle="1">
    <w:name w:val="列出段落2"/>
    <w:basedOn w:val="1184"/>
    <w:uiPriority w:val="0"/>
    <w:qFormat/>
    <w:pPr>
      <w:ind w:firstLine="420"/>
    </w:pPr>
    <w:rPr>
      <w:rFonts w:ascii="Calibri" w:hAnsi="Calibri"/>
      <w:szCs w:val="22"/>
    </w:rPr>
  </w:style>
  <w:style w:type="paragraph" w:styleId="1425" w:customStyle="1">
    <w:name w:val="Char Char Char1 Char2"/>
    <w:basedOn w:val="1184"/>
    <w:uiPriority w:val="0"/>
    <w:qFormat/>
    <w:rPr>
      <w:rFonts w:ascii="Tahoma" w:hAnsi="Tahoma"/>
      <w:sz w:val="24"/>
      <w:szCs w:val="20"/>
    </w:rPr>
  </w:style>
  <w:style w:type="paragraph" w:styleId="1426" w:customStyle="1">
    <w:name w:val="Char Char Char2"/>
    <w:basedOn w:val="1184"/>
    <w:uiPriority w:val="0"/>
    <w:qFormat/>
    <w:rPr>
      <w:rFonts w:ascii="Tahoma" w:hAnsi="Tahoma"/>
      <w:sz w:val="24"/>
      <w:szCs w:val="20"/>
    </w:rPr>
  </w:style>
  <w:style w:type="paragraph" w:styleId="1427" w:customStyle="1">
    <w:name w:val="Char Char Char Char Char Char Char2"/>
    <w:basedOn w:val="1184"/>
    <w:uiPriority w:val="0"/>
    <w:qFormat/>
    <w:pPr>
      <w:ind w:firstLine="200"/>
      <w:spacing w:line="360" w:lineRule="auto"/>
    </w:pPr>
    <w:rPr>
      <w:rFonts w:eastAsia="仿宋_GB2312"/>
      <w:sz w:val="24"/>
    </w:rPr>
  </w:style>
  <w:style w:type="paragraph" w:styleId="1428" w:customStyle="1">
    <w:name w:val="正文缩进2"/>
    <w:basedOn w:val="1184"/>
    <w:uiPriority w:val="0"/>
    <w:qFormat/>
    <w:pPr>
      <w:ind w:firstLine="567"/>
      <w:spacing w:line="480" w:lineRule="exact"/>
      <w:widowControl/>
    </w:pPr>
    <w:rPr>
      <w:rFonts w:ascii="宋体"/>
      <w:color w:val="000000"/>
      <w:sz w:val="28"/>
      <w:szCs w:val="20"/>
      <w:lang w:val="zh-CN"/>
    </w:rPr>
  </w:style>
  <w:style w:type="paragraph" w:styleId="1429" w:customStyle="1">
    <w:name w:val="修订1"/>
    <w:uiPriority w:val="0"/>
    <w:qFormat/>
    <w:rPr>
      <w:rFonts w:ascii="Times New Roman" w:hAnsi="Times New Roman" w:eastAsia="宋体" w:cs="Times New Roman"/>
      <w:sz w:val="21"/>
      <w:szCs w:val="24"/>
      <w:lang w:val="en-US" w:eastAsia="zh-CN" w:bidi="ar-SA"/>
    </w:rPr>
  </w:style>
  <w:style w:type="paragraph" w:styleId="1430" w:customStyle="1">
    <w:name w:val="Char22"/>
    <w:basedOn w:val="1184"/>
    <w:uiPriority w:val="0"/>
    <w:qFormat/>
    <w:rPr>
      <w:rFonts w:ascii="Tahoma" w:hAnsi="Tahoma"/>
      <w:sz w:val="24"/>
      <w:szCs w:val="20"/>
    </w:rPr>
  </w:style>
  <w:style w:type="paragraph" w:styleId="1431" w:customStyle="1">
    <w:name w:val="Char Char Char Char Char Char Char Char Char Char2"/>
    <w:basedOn w:val="1184"/>
    <w:uiPriority w:val="0"/>
    <w:qFormat/>
    <w:rPr>
      <w:rFonts w:ascii="宋体" w:hAnsi="宋体" w:cs="Courier New"/>
      <w:sz w:val="32"/>
      <w:szCs w:val="32"/>
    </w:rPr>
  </w:style>
  <w:style w:type="paragraph" w:styleId="1432" w:customStyle="1">
    <w:name w:val="Char2 Char Char Char Char Char Char1"/>
    <w:basedOn w:val="1184"/>
    <w:uiPriority w:val="0"/>
    <w:qFormat/>
    <w:pPr>
      <w:jc w:val="center"/>
      <w:spacing w:line="400" w:lineRule="exact"/>
      <w:widowControl/>
    </w:pPr>
  </w:style>
  <w:style w:type="character" w:styleId="1433" w:customStyle="1">
    <w:name w:val="页脚 Char"/>
    <w:uiPriority w:val="0"/>
    <w:qFormat/>
    <w:rPr>
      <w:rFonts w:ascii="宋体" w:eastAsia="宋体"/>
      <w:sz w:val="18"/>
      <w:lang w:val="en-US" w:eastAsia="zh-CN" w:bidi="ar-SA"/>
    </w:rPr>
  </w:style>
  <w:style w:type="paragraph" w:styleId="1434" w:customStyle="1">
    <w:name w:val="Char Char41"/>
    <w:basedOn w:val="1184"/>
    <w:uiPriority w:val="0"/>
    <w:qFormat/>
    <w:pPr>
      <w:jc w:val="center"/>
      <w:spacing w:line="400" w:lineRule="exact"/>
      <w:widowControl/>
    </w:pPr>
  </w:style>
  <w:style w:type="character" w:styleId="1435" w:customStyle="1">
    <w:name w:val="批注文字 Char"/>
    <w:uiPriority w:val="99"/>
    <w:qFormat/>
    <w:rPr>
      <w:sz w:val="21"/>
      <w:szCs w:val="24"/>
    </w:rPr>
  </w:style>
  <w:style w:type="character" w:styleId="1436" w:customStyle="1">
    <w:name w:val="标题 Char"/>
    <w:uiPriority w:val="0"/>
    <w:qFormat/>
    <w:rPr>
      <w:b/>
      <w:sz w:val="32"/>
    </w:rPr>
  </w:style>
  <w:style w:type="paragraph" w:styleId="1437" w:customStyle="1">
    <w:name w:val="图例"/>
    <w:basedOn w:val="1184"/>
    <w:uiPriority w:val="0"/>
    <w:qFormat/>
    <w:pPr>
      <w:jc w:val="center"/>
      <w:spacing w:before="120" w:after="120" w:line="360" w:lineRule="auto"/>
    </w:pPr>
    <w:rPr>
      <w:rFonts w:eastAsia="仿宋_GB2312"/>
      <w:b/>
      <w:sz w:val="24"/>
      <w:szCs w:val="20"/>
    </w:rPr>
  </w:style>
  <w:style w:type="table" w:styleId="143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39" w:customStyle="1">
    <w:name w:val="Table Paragraph"/>
    <w:basedOn w:val="1184"/>
    <w:uiPriority w:val="1"/>
    <w:qFormat/>
    <w:pPr>
      <w:jc w:val="left"/>
    </w:pPr>
    <w:rPr>
      <w:rFonts w:ascii="宋体" w:hAnsi="宋体" w:cs="宋体"/>
      <w:sz w:val="22"/>
      <w:szCs w:val="22"/>
      <w:lang w:eastAsia="en-US"/>
    </w:rPr>
  </w:style>
  <w:style w:type="paragraph" w:styleId="1440" w:customStyle="1">
    <w:name w:val="成文日期"/>
    <w:basedOn w:val="1184"/>
    <w:link w:val="1441"/>
    <w:uiPriority w:val="0"/>
    <w:qFormat/>
    <w:pPr>
      <w:ind w:right="400" w:firstLine="200"/>
      <w:jc w:val="right"/>
      <w:spacing w:line="570" w:lineRule="exact"/>
    </w:pPr>
    <w:rPr>
      <w:rFonts w:ascii="仿宋_GB2312" w:eastAsia="仿宋_GB2312"/>
      <w:sz w:val="32"/>
      <w:szCs w:val="20"/>
    </w:rPr>
  </w:style>
  <w:style w:type="character" w:styleId="1441" w:customStyle="1">
    <w:name w:val="成文日期 Char"/>
    <w:link w:val="1440"/>
    <w:uiPriority w:val="0"/>
    <w:qFormat/>
    <w:rPr>
      <w:rFonts w:ascii="仿宋_GB2312" w:eastAsia="仿宋_GB2312"/>
      <w:sz w:val="32"/>
    </w:rPr>
  </w:style>
  <w:style w:type="paragraph" w:styleId="1442" w:customStyle="1">
    <w:name w:val="_Style 258"/>
    <w:uiPriority w:val="99"/>
    <w:unhideWhenUsed/>
    <w:qFormat/>
    <w:rPr>
      <w:rFonts w:ascii="Times New Roman" w:hAnsi="Times New Roman" w:eastAsia="宋体" w:cs="Times New Roman"/>
      <w:sz w:val="21"/>
      <w:szCs w:val="24"/>
      <w:lang w:val="en-US" w:eastAsia="zh-CN" w:bidi="ar-SA"/>
    </w:rPr>
  </w:style>
  <w:style w:type="character" w:styleId="1443" w:customStyle="1">
    <w:name w:val="页脚 字符"/>
    <w:uiPriority w:val="99"/>
    <w:qFormat/>
  </w:style>
  <w:style w:type="character" w:styleId="1444" w:customStyle="1">
    <w:name w:val="标题 2 字符1"/>
    <w:uiPriority w:val="0"/>
    <w:semiHidden/>
    <w:qFormat/>
    <w:rPr>
      <w:rFonts w:ascii="Arial" w:hAnsi="Arial" w:eastAsia="黑体" w:cs="Times New Roman"/>
      <w:b/>
      <w:sz w:val="30"/>
      <w:szCs w:val="20"/>
    </w:rPr>
  </w:style>
  <w:style w:type="paragraph" w:styleId="1445" w:customStyle="1">
    <w:name w:val="列出段落11"/>
    <w:basedOn w:val="1184"/>
    <w:uiPriority w:val="34"/>
    <w:qFormat/>
    <w:pPr>
      <w:ind w:firstLine="420"/>
    </w:pPr>
    <w:rPr>
      <w:szCs w:val="20"/>
    </w:rPr>
  </w:style>
  <w:style w:type="paragraph" w:styleId="1446" w:customStyle="1">
    <w:name w:val="列表段落1"/>
    <w:basedOn w:val="1184"/>
    <w:uiPriority w:val="34"/>
    <w:qFormat/>
    <w:pPr>
      <w:ind w:firstLine="420"/>
    </w:pPr>
    <w:rPr>
      <w:rFonts w:eastAsia="等线"/>
      <w:szCs w:val="22"/>
    </w:rPr>
  </w:style>
  <w:style w:type="character" w:styleId="1447" w:customStyle="1">
    <w:name w:val="正文文本 Char"/>
    <w:uiPriority w:val="0"/>
    <w:qFormat/>
    <w:rPr>
      <w:rFonts w:ascii="宋体" w:hAnsi="宋体"/>
      <w:sz w:val="24"/>
      <w:szCs w:val="24"/>
    </w:rPr>
  </w:style>
  <w:style w:type="character" w:styleId="1448" w:customStyle="1">
    <w:name w:val="页脚 Char1"/>
    <w:uiPriority w:val="99"/>
    <w:qFormat/>
    <w:rPr>
      <w:rFonts w:ascii="宋体" w:eastAsia="宋体"/>
      <w:sz w:val="18"/>
      <w:lang w:val="en-US" w:eastAsia="zh-CN" w:bidi="ar-SA"/>
    </w:rPr>
  </w:style>
  <w:style w:type="character" w:styleId="1449" w:customStyle="1">
    <w:name w:val="页眉 Char1"/>
    <w:uiPriority w:val="0"/>
    <w:qFormat/>
    <w:rPr>
      <w:rFonts w:eastAsia="宋体"/>
      <w:sz w:val="18"/>
      <w:szCs w:val="18"/>
      <w:lang w:val="en-US" w:eastAsia="zh-CN" w:bidi="ar-SA"/>
    </w:rPr>
  </w:style>
  <w:style w:type="character" w:styleId="1450" w:customStyle="1">
    <w:name w:val="NormalCharacter"/>
    <w:uiPriority w:val="0"/>
    <w:semiHidden/>
    <w:qFormat/>
  </w:style>
  <w:style w:type="paragraph" w:styleId="1451" w:customStyle="1">
    <w:name w:val="段"/>
    <w:next w:val="1184"/>
    <w:uiPriority w:val="0"/>
    <w:qFormat/>
    <w:pPr>
      <w:ind w:firstLine="200"/>
      <w:jc w:val="both"/>
    </w:pPr>
    <w:rPr>
      <w:rFonts w:ascii="宋体" w:hAnsi="Calibri" w:eastAsia="宋体" w:cs="Times New Roman"/>
      <w:sz w:val="21"/>
      <w:lang w:val="en-US" w:eastAsia="zh-CN" w:bidi="ar-SA"/>
    </w:rPr>
  </w:style>
  <w:style w:type="character" w:styleId="1452" w:customStyle="1">
    <w:name w:val="正文缩进 字符1"/>
    <w:uiPriority w:val="0"/>
    <w:qFormat/>
    <w:rPr>
      <w:rFonts w:ascii="宋体"/>
      <w:sz w:val="24"/>
      <w:szCs w:val="24"/>
    </w:rPr>
  </w:style>
  <w:style w:type="paragraph" w:styleId="1453" w:customStyle="1">
    <w:name w:val="样式 正文缩进文2ALT+Z表正文正文非缩进特点段1标题4特点 Char Char特点 Char Char C..."/>
    <w:basedOn w:val="1197"/>
    <w:uiPriority w:val="0"/>
    <w:qFormat/>
    <w:pPr>
      <w:ind w:firstLine="480"/>
      <w:jc w:val="both"/>
      <w:spacing w:line="360" w:lineRule="auto"/>
    </w:pPr>
    <w:rPr>
      <w:rFonts w:ascii="Times New Roman" w:hAnsi="Calibri" w:eastAsia="仿宋_GB2312" w:cs="宋体"/>
      <w:szCs w:val="20"/>
    </w:rPr>
  </w:style>
  <w:style w:type="table" w:styleId="1454" w:customStyle="1">
    <w:name w:val="网格型1"/>
    <w:basedOn w:val="11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55" w:customStyle="1">
    <w:name w:val="网格型2"/>
    <w:basedOn w:val="11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6" w:customStyle="1">
    <w:name w:val="标题 字符1"/>
    <w:uiPriority w:val="0"/>
    <w:qFormat/>
    <w:rPr>
      <w:rFonts w:ascii="Cambria" w:hAnsi="Cambria"/>
      <w:b/>
      <w:bCs/>
      <w:sz w:val="32"/>
      <w:szCs w:val="32"/>
    </w:rPr>
  </w:style>
  <w:style w:type="paragraph" w:styleId="1457" w:customStyle="1">
    <w:name w:val="纯文本2"/>
    <w:next w:val="1216"/>
    <w:uiPriority w:val="0"/>
    <w:qFormat/>
    <w:pPr>
      <w:jc w:val="both"/>
      <w:spacing w:line="360" w:lineRule="auto"/>
      <w:widowControl w:val="off"/>
    </w:pPr>
    <w:rPr>
      <w:rFonts w:ascii="宋体" w:hAnsi="宋体" w:eastAsia="仿宋" w:cs="Times New Roman"/>
      <w:sz w:val="26"/>
      <w:szCs w:val="21"/>
      <w:lang w:val="en-US" w:eastAsia="zh-CN" w:bidi="ar-SA"/>
    </w:rPr>
  </w:style>
  <w:style w:type="character" w:styleId="1458" w:customStyle="1">
    <w:name w:val="正文文本_"/>
    <w:basedOn w:val="1194"/>
    <w:link w:val="1459"/>
    <w:uiPriority w:val="99"/>
    <w:unhideWhenUsed/>
    <w:qFormat/>
    <w:rPr>
      <w:rFonts w:ascii="MingLiU" w:hAnsi="MingLiU" w:eastAsia="MingLiU"/>
      <w:spacing w:val="10"/>
      <w:sz w:val="23"/>
      <w:shd w:val="clear" w:color="auto" w:fill="ffffff"/>
    </w:rPr>
  </w:style>
  <w:style w:type="paragraph" w:styleId="1459" w:customStyle="1">
    <w:name w:val="正文文本1"/>
    <w:basedOn w:val="1184"/>
    <w:next w:val="1184"/>
    <w:link w:val="1458"/>
    <w:uiPriority w:val="99"/>
    <w:unhideWhenUsed/>
    <w:qFormat/>
    <w:pPr>
      <w:jc w:val="both"/>
      <w:spacing w:before="240" w:after="360" w:line="307" w:lineRule="exact"/>
      <w:shd w:val="clear" w:color="auto" w:fill="ffffff"/>
    </w:pPr>
    <w:rPr>
      <w:rFonts w:hint="eastAsia" w:ascii="MingLiU" w:hAnsi="MingLiU" w:eastAsia="MingLiU"/>
      <w:spacing w:val="10"/>
      <w:sz w:val="23"/>
      <w:szCs w:val="20"/>
    </w:rPr>
  </w:style>
  <w:style w:type="character" w:styleId="1460" w:customStyle="1">
    <w:name w:val="font21"/>
    <w:basedOn w:val="1194"/>
    <w:uiPriority w:val="0"/>
    <w:qFormat/>
    <w:rPr>
      <w:rFonts w:hint="eastAsia" w:ascii="宋体" w:hAnsi="宋体" w:eastAsia="宋体" w:cs="宋体"/>
      <w:color w:val="000000"/>
      <w:sz w:val="21"/>
      <w:szCs w:val="21"/>
      <w:u w:val="none"/>
    </w:rPr>
  </w:style>
  <w:style w:type="character" w:styleId="1461" w:customStyle="1">
    <w:name w:val="font01"/>
    <w:basedOn w:val="1194"/>
    <w:uiPriority w:val="0"/>
    <w:qFormat/>
    <w:rPr>
      <w:rFonts w:hint="eastAsia" w:ascii="宋体" w:hAnsi="宋体" w:eastAsia="宋体" w:cs="宋体"/>
      <w:b/>
      <w:color w:val="000000"/>
      <w:sz w:val="22"/>
      <w:szCs w:val="22"/>
      <w:u w:val="none"/>
    </w:rPr>
  </w:style>
  <w:style w:type="paragraph" w:styleId="1462" w:customStyle="1">
    <w:name w:val="p0"/>
    <w:basedOn w:val="1184"/>
    <w:uiPriority w:val="0"/>
    <w:qFormat/>
    <w:pPr>
      <w:widowControl/>
    </w:pPr>
    <w:rPr>
      <w:rFonts w:ascii="Calibri" w:hAnsi="Calibri"/>
      <w:szCs w:val="21"/>
    </w:rPr>
  </w:style>
  <w:style w:type="paragraph" w:styleId="1463" w:customStyle="1">
    <w:name w:val="be358f00-9758-446e-aec5-cde8345aeef3"/>
    <w:basedOn w:val="1202"/>
    <w:link w:val="1464"/>
    <w:uiPriority w:val="0"/>
    <w:qFormat/>
    <w:pPr>
      <w:ind w:firstLine="440"/>
      <w:jc w:val="left"/>
      <w:spacing w:before="0" w:line="240" w:lineRule="auto"/>
      <w:tabs>
        <w:tab w:val="clear" w:pos="567" w:leader="none"/>
      </w:tabs>
    </w:pPr>
    <w:rPr>
      <w:rFonts w:ascii="微软雅黑" w:hAnsi="微软雅黑" w:eastAsia="微软雅黑"/>
      <w:color w:val="000000"/>
      <w:sz w:val="22"/>
    </w:rPr>
  </w:style>
  <w:style w:type="character" w:styleId="1464" w:customStyle="1">
    <w:name w:val="be358f00-9758-446e-aec5-cde8345aeef3 字符"/>
    <w:link w:val="1463"/>
    <w:uiPriority w:val="0"/>
    <w:qFormat/>
    <w:rPr>
      <w:rFonts w:ascii="微软雅黑" w:hAnsi="微软雅黑" w:eastAsia="微软雅黑"/>
      <w:color w:val="000000"/>
      <w:sz w:val="22"/>
      <w:szCs w:val="24"/>
    </w:rPr>
  </w:style>
  <w:style w:type="character" w:styleId="1465" w:customStyle="1">
    <w:name w:val="font61"/>
    <w:basedOn w:val="1194"/>
    <w:uiPriority w:val="0"/>
    <w:qFormat/>
    <w:rPr>
      <w:rFonts w:hint="eastAsia" w:ascii="宋体" w:hAnsi="宋体" w:eastAsia="宋体" w:cs="宋体"/>
      <w:color w:val="000000"/>
      <w:sz w:val="21"/>
      <w:szCs w:val="21"/>
      <w:u w:val="none"/>
    </w:rPr>
  </w:style>
  <w:style w:type="character" w:styleId="1466" w:customStyle="1">
    <w:name w:val="font71"/>
    <w:uiPriority w:val="0"/>
    <w:qFormat/>
    <w:rPr>
      <w:rFonts w:hint="eastAsia" w:ascii="宋体" w:hAnsi="宋体" w:eastAsia="宋体" w:cs="宋体"/>
      <w:color w:val="000000"/>
      <w:sz w:val="22"/>
      <w:szCs w:val="22"/>
      <w:u w:val="none"/>
    </w:rPr>
  </w:style>
  <w:style w:type="character" w:styleId="1467" w:customStyle="1">
    <w:name w:val="font31"/>
    <w:basedOn w:val="1194"/>
    <w:uiPriority w:val="0"/>
    <w:qFormat/>
    <w:rPr>
      <w:rFonts w:ascii="Arial Unicode MS" w:hAnsi="Arial Unicode MS" w:eastAsia="Arial Unicode MS" w:cs="Arial Unicode MS"/>
      <w:color w:val="000000"/>
      <w:sz w:val="22"/>
      <w:szCs w:val="22"/>
      <w:u w:val="none"/>
    </w:rPr>
  </w:style>
  <w:style w:type="character" w:styleId="1468" w:customStyle="1">
    <w:name w:val="font41"/>
    <w:uiPriority w:val="0"/>
    <w:qFormat/>
    <w:rPr>
      <w:rFonts w:ascii="宋体" w:hAnsi="宋体" w:eastAsia="宋体" w:cs="宋体"/>
      <w:color w:val="000000"/>
      <w:sz w:val="22"/>
      <w:szCs w:val="22"/>
      <w:u w:val="none"/>
    </w:rPr>
  </w:style>
  <w:style w:type="character" w:styleId="1469" w:customStyle="1">
    <w:name w:val="font11"/>
    <w:uiPriority w:val="0"/>
    <w:qFormat/>
    <w:rPr>
      <w:rFonts w:hint="eastAsia" w:ascii="宋体" w:hAnsi="宋体" w:eastAsia="宋体" w:cs="宋体"/>
      <w:b/>
      <w:bCs/>
      <w:color w:val="000000"/>
      <w:sz w:val="21"/>
      <w:szCs w:val="21"/>
      <w:u w:val="none"/>
    </w:rPr>
  </w:style>
  <w:style w:type="character" w:styleId="1470" w:customStyle="1">
    <w:name w:val="font51"/>
    <w:basedOn w:val="1194"/>
    <w:uiPriority w:val="0"/>
    <w:qFormat/>
    <w:rPr>
      <w:rFonts w:hint="default" w:ascii="Times New Roman" w:hAnsi="Times New Roman" w:cs="Times New Roman"/>
      <w:color w:val="000000"/>
      <w:sz w:val="21"/>
      <w:szCs w:val="21"/>
      <w:u w:val="none"/>
    </w:rPr>
  </w:style>
  <w:style w:type="character" w:styleId="1471" w:customStyle="1">
    <w:name w:val="font81"/>
    <w:uiPriority w:val="0"/>
    <w:qFormat/>
    <w:rPr>
      <w:rFonts w:hint="default" w:ascii="Times New Roman" w:hAnsi="Times New Roman" w:cs="Times New Roman"/>
      <w:color w:val="000000"/>
      <w:sz w:val="21"/>
      <w:szCs w:val="21"/>
      <w:u w:val="none"/>
      <w:vertAlign w:val="superscript"/>
    </w:rPr>
  </w:style>
  <w:style w:type="paragraph" w:styleId="1472" w:customStyle="1">
    <w:name w:val="正文缩进11"/>
    <w:basedOn w:val="1184"/>
    <w:uiPriority w:val="0"/>
    <w:qFormat/>
    <w:pPr>
      <w:ind w:firstLine="420"/>
      <w:jc w:val="left"/>
    </w:pPr>
    <w:rPr>
      <w:rFonts w:ascii="宋体"/>
      <w:sz w:val="24"/>
    </w:rPr>
  </w:style>
  <w:style w:type="paragraph" w:styleId="1473" w:customStyle="1">
    <w:name w:val="一、"/>
    <w:basedOn w:val="1184"/>
    <w:uiPriority w:val="0"/>
    <w:qFormat/>
    <w:pPr>
      <w:ind w:firstLine="640"/>
    </w:pPr>
    <w:rPr>
      <w:rFonts w:eastAsia="黑体"/>
      <w:szCs w:val="32"/>
    </w:rPr>
  </w:style>
  <w:style w:type="paragraph" w:styleId="1474"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475" w:customStyle="1">
    <w:name w:val="第一章"/>
    <w:basedOn w:val="1473"/>
    <w:uiPriority w:val="0"/>
    <w:qFormat/>
    <w:pPr>
      <w:ind w:firstLine="0"/>
      <w:jc w:val="center"/>
    </w:pPr>
  </w:style>
  <w:style w:type="paragraph" w:styleId="147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77" w:customStyle="1">
    <w:name w:val="正文首行缩进1"/>
    <w:basedOn w:val="1459"/>
    <w:uiPriority w:val="0"/>
    <w:qFormat/>
    <w:pPr>
      <w:ind w:firstLine="200"/>
      <w:spacing w:line="360" w:lineRule="auto"/>
    </w:pPr>
    <w:rPr>
      <w:rFonts w:ascii="仿宋_GB2312" w:eastAsia="仿宋_GB2312"/>
      <w:sz w:val="30"/>
      <w:szCs w:val="30"/>
    </w:rPr>
  </w:style>
  <w:style w:type="character" w:styleId="1478" w:customStyle="1">
    <w:name w:val="font112"/>
    <w:basedOn w:val="1194"/>
    <w:uiPriority w:val="0"/>
    <w:qFormat/>
    <w:rPr>
      <w:rFonts w:ascii="Arial" w:hAnsi="Arial" w:cs="Arial"/>
      <w:color w:val="000000"/>
      <w:sz w:val="22"/>
      <w:szCs w:val="22"/>
      <w:u w:val="none"/>
    </w:rPr>
  </w:style>
  <w:style w:type="character" w:styleId="1479" w:customStyle="1">
    <w:name w:val="font121"/>
    <w:basedOn w:val="1194"/>
    <w:uiPriority w:val="0"/>
    <w:qFormat/>
    <w:rPr>
      <w:rFonts w:ascii="PingFang SC" w:hAnsi="PingFang SC" w:eastAsia="PingFang SC" w:cs="PingFang SC"/>
      <w:color w:val="000000"/>
      <w:sz w:val="24"/>
      <w:szCs w:val="24"/>
      <w:u w:val="none"/>
    </w:rPr>
  </w:style>
  <w:style w:type="paragraph" w:styleId="1480" w:customStyle="1">
    <w:name w:val="纯文本11"/>
    <w:basedOn w:val="1184"/>
    <w:uiPriority w:val="99"/>
    <w:qFormat/>
    <w:rPr>
      <w:rFonts w:hint="eastAsia" w:ascii="宋体" w:hAnsi="Courier New"/>
      <w:szCs w:val="20"/>
    </w:rPr>
  </w:style>
  <w:style w:type="numbering" w:styleId="1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姜红</cp:lastModifiedBy>
  <cp:revision>8</cp:revision>
  <dcterms:created xsi:type="dcterms:W3CDTF">2026-03-16T02:20:00Z</dcterms:created>
  <dcterms:modified xsi:type="dcterms:W3CDTF">2026-03-17T03:53:12Z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B46F40109B95D4EEA168B76947F17100</vt:lpwstr>
  </property>
  <property fmtid="{D5CDD505-2E9C-101B-9397-08002B2CF9AE}" pid="4" name="KSOTemplateDocerSaveRecord">
    <vt:lpwstr>eyJoZGlkIjoiYzUxNmUyN2M1NDExYWQ2NTIwYWUyZTMzYWRkNjUxZDMiLCJ1c2VySWQiOiI2ODA5Njc2OTMifQ==</vt:lpwstr>
  </property>
</Properties>
</file>