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微软雅黑" w:hAnsi="微软雅黑" w:eastAsia="微软雅黑" w:cs="微软雅黑"/>
          <w:color w:val="auto"/>
          <w:spacing w:val="-20"/>
          <w:kern w:val="0"/>
          <w:sz w:val="42"/>
          <w:szCs w:val="42"/>
          <w:shd w:val="clear" w:color="auto" w:fill="FFFFFF"/>
          <w14:ligatures w14:val="none"/>
        </w:rPr>
      </w:pPr>
      <w:r>
        <w:rPr>
          <w:rFonts w:hint="eastAsia" w:ascii="微软雅黑" w:hAnsi="微软雅黑" w:eastAsia="微软雅黑" w:cs="微软雅黑"/>
          <w:color w:val="auto"/>
          <w:spacing w:val="-20"/>
          <w:kern w:val="0"/>
          <w:sz w:val="42"/>
          <w:szCs w:val="42"/>
          <w:shd w:val="clear" w:color="auto" w:fill="FFFFFF"/>
          <w14:ligatures w14:val="none"/>
        </w:rPr>
        <w:t>苏通第二过江通道北接线房屋征迁项目(小海段)</w:t>
      </w:r>
    </w:p>
    <w:p>
      <w:pPr>
        <w:spacing w:line="640" w:lineRule="exact"/>
        <w:jc w:val="center"/>
        <w:rPr>
          <w:rFonts w:hint="eastAsia" w:ascii="微软雅黑" w:hAnsi="微软雅黑" w:eastAsia="微软雅黑" w:cs="微软雅黑"/>
          <w:color w:val="auto"/>
          <w:spacing w:val="-20"/>
          <w:kern w:val="0"/>
          <w:sz w:val="42"/>
          <w:szCs w:val="42"/>
          <w:shd w:val="clear" w:color="auto" w:fill="FFFFFF"/>
          <w14:ligatures w14:val="none"/>
        </w:rPr>
      </w:pPr>
      <w:r>
        <w:rPr>
          <w:rFonts w:hint="eastAsia" w:ascii="微软雅黑" w:hAnsi="微软雅黑" w:eastAsia="微软雅黑" w:cs="微软雅黑"/>
          <w:color w:val="auto"/>
          <w:spacing w:val="-20"/>
          <w:kern w:val="0"/>
          <w:sz w:val="42"/>
          <w:szCs w:val="42"/>
          <w:shd w:val="clear" w:color="auto" w:fill="FFFFFF"/>
          <w14:ligatures w14:val="none"/>
        </w:rPr>
        <w:t>招标服务单位公告（第二次）</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为确保按期、保质、顺利实施苏通第二过江通道北接线房屋征迁工程(小海段)，现招标7家征收服务公司。相关事宜公告如下：</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国标宋体" w:hAnsi="国标宋体" w:eastAsia="国标宋体" w:cs="国标宋体"/>
          <w:b/>
          <w:bCs/>
          <w:color w:val="auto"/>
          <w:sz w:val="32"/>
          <w:szCs w:val="32"/>
          <w14:ligatures w14:val="none"/>
        </w:rPr>
        <w:t>一、招标人：</w:t>
      </w:r>
      <w:r>
        <w:rPr>
          <w:rFonts w:hint="eastAsia" w:ascii="仿宋" w:hAnsi="仿宋" w:eastAsia="仿宋" w:cs="Times New Roman"/>
          <w:color w:val="auto"/>
          <w:sz w:val="32"/>
          <w:szCs w:val="32"/>
          <w14:ligatures w14:val="none"/>
        </w:rPr>
        <w:t>南通市小海街道办事处</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二、项目概况</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1、本项目座落：起点沈海高速小海枢纽、终点源兴路与滨水路交叉口。</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2、实施时间初定于2025年12月9日至2027年12月31日，具体时间以公告为准。</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3、本项目招标确定7家征收服务公司完成房屋征迁。</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4、本项目旧房拆除由中标单位在规定期限内完成，按拆除方案标准执行。</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5、本项目旧房残值按小海街办相关规定执行。</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三、投标条件</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1、具有南通市住房和城乡建设局2021年后的准入资格</w:t>
      </w:r>
      <w:bookmarkStart w:id="0" w:name="OLE_LINK1"/>
      <w:r>
        <w:rPr>
          <w:rFonts w:hint="eastAsia" w:ascii="仿宋" w:hAnsi="仿宋" w:eastAsia="仿宋" w:cs="Times New Roman"/>
          <w:color w:val="auto"/>
          <w:sz w:val="32"/>
          <w:szCs w:val="32"/>
          <w14:ligatures w14:val="none"/>
        </w:rPr>
        <w:t>或南通开发区住房和城乡建设局2021年后准入资格的征收公司</w:t>
      </w:r>
      <w:bookmarkEnd w:id="0"/>
      <w:r>
        <w:rPr>
          <w:rFonts w:hint="eastAsia" w:ascii="仿宋" w:hAnsi="仿宋" w:eastAsia="仿宋" w:cs="Times New Roman"/>
          <w:color w:val="auto"/>
          <w:sz w:val="32"/>
          <w:szCs w:val="32"/>
          <w:lang w:eastAsia="zh-CN"/>
          <w14:ligatures w14:val="none"/>
        </w:rPr>
        <w:t>，公司需配备一名安全员</w:t>
      </w:r>
      <w:r>
        <w:rPr>
          <w:rFonts w:hint="eastAsia" w:ascii="仿宋" w:hAnsi="仿宋" w:eastAsia="仿宋" w:cs="Times New Roman"/>
          <w:color w:val="auto"/>
          <w:sz w:val="32"/>
          <w:szCs w:val="32"/>
          <w14:ligatures w14:val="none"/>
        </w:rPr>
        <w:t>（具有安全管理资格证书）。</w:t>
      </w:r>
    </w:p>
    <w:p>
      <w:pPr>
        <w:widowControl/>
        <w:spacing w:after="0" w:line="540" w:lineRule="exact"/>
        <w:ind w:firstLine="640"/>
        <w:rPr>
          <w:rFonts w:hint="eastAsia" w:ascii="仿宋" w:hAnsi="仿宋" w:eastAsia="仿宋" w:cs="Times New Roman"/>
          <w:color w:val="auto"/>
          <w:sz w:val="32"/>
          <w:szCs w:val="32"/>
          <w:lang w:eastAsia="zh-CN"/>
          <w14:ligatures w14:val="none"/>
        </w:rPr>
      </w:pPr>
      <w:r>
        <w:rPr>
          <w:rFonts w:hint="eastAsia" w:ascii="仿宋" w:hAnsi="仿宋" w:eastAsia="仿宋" w:cs="Times New Roman"/>
          <w:color w:val="auto"/>
          <w:sz w:val="32"/>
          <w:szCs w:val="32"/>
          <w14:ligatures w14:val="none"/>
        </w:rPr>
        <w:t>2、派驻本项目的所有工作人员须持南通市</w:t>
      </w:r>
      <w:r>
        <w:rPr>
          <w:rFonts w:hint="eastAsia" w:ascii="仿宋" w:hAnsi="仿宋" w:eastAsia="仿宋" w:cs="Times New Roman"/>
          <w:color w:val="auto"/>
          <w:sz w:val="32"/>
          <w:szCs w:val="32"/>
          <w:lang w:eastAsia="zh-CN"/>
          <w14:ligatures w14:val="none"/>
        </w:rPr>
        <w:t>、区</w:t>
      </w:r>
      <w:r>
        <w:rPr>
          <w:rFonts w:hint="eastAsia" w:ascii="仿宋" w:hAnsi="仿宋" w:eastAsia="仿宋" w:cs="Times New Roman"/>
          <w:color w:val="auto"/>
          <w:sz w:val="32"/>
          <w:szCs w:val="32"/>
          <w14:ligatures w14:val="none"/>
        </w:rPr>
        <w:t>住建部门颁发的上岗证，有从业经验，工作人员人数不得少于4人</w:t>
      </w:r>
      <w:r>
        <w:rPr>
          <w:rFonts w:hint="eastAsia" w:ascii="仿宋" w:hAnsi="仿宋" w:eastAsia="仿宋" w:cs="Times New Roman"/>
          <w:color w:val="auto"/>
          <w:sz w:val="32"/>
          <w:szCs w:val="32"/>
          <w:lang w:eastAsia="zh-CN"/>
          <w14:ligatures w14:val="none"/>
        </w:rPr>
        <w:t>，</w:t>
      </w:r>
      <w:r>
        <w:rPr>
          <w:rFonts w:hint="eastAsia" w:ascii="仿宋" w:hAnsi="仿宋" w:eastAsia="仿宋" w:cs="Times New Roman"/>
          <w:color w:val="auto"/>
          <w:sz w:val="32"/>
          <w:szCs w:val="32"/>
          <w14:ligatures w14:val="none"/>
        </w:rPr>
        <w:t>其中一名副总经理以上担任项目经理、3名拆迁工作人员</w:t>
      </w:r>
      <w:r>
        <w:rPr>
          <w:rFonts w:hint="eastAsia" w:ascii="仿宋" w:hAnsi="仿宋" w:eastAsia="仿宋" w:cs="Times New Roman"/>
          <w:color w:val="auto"/>
          <w:sz w:val="32"/>
          <w:szCs w:val="32"/>
          <w:lang w:eastAsia="zh-CN"/>
          <w14:ligatures w14:val="none"/>
        </w:rPr>
        <w:t>。</w:t>
      </w:r>
      <w:bookmarkStart w:id="5" w:name="_GoBack"/>
      <w:bookmarkEnd w:id="5"/>
    </w:p>
    <w:p>
      <w:pPr>
        <w:widowControl/>
        <w:spacing w:after="0" w:line="540" w:lineRule="exact"/>
        <w:ind w:firstLine="640"/>
        <w:rPr>
          <w:rFonts w:hint="eastAsia" w:ascii="仿宋" w:hAnsi="仿宋" w:eastAsia="仿宋" w:cs="Times New Roman"/>
          <w:b/>
          <w:bCs/>
          <w:color w:val="auto"/>
          <w:sz w:val="32"/>
          <w:szCs w:val="32"/>
          <w14:ligatures w14:val="none"/>
        </w:rPr>
      </w:pPr>
      <w:r>
        <w:rPr>
          <w:rFonts w:hint="eastAsia" w:ascii="仿宋" w:hAnsi="仿宋" w:eastAsia="仿宋" w:cs="Times New Roman"/>
          <w:b/>
          <w:bCs/>
          <w:color w:val="auto"/>
          <w:sz w:val="32"/>
          <w:szCs w:val="32"/>
          <w14:ligatures w14:val="none"/>
        </w:rPr>
        <w:t>特别提醒：①投标时拟派的工作人员需提供有效的上岗证副本原件</w:t>
      </w:r>
      <w:bookmarkStart w:id="1" w:name="OLE_LINK4"/>
      <w:bookmarkStart w:id="2" w:name="_Hlk215302118"/>
      <w:r>
        <w:rPr>
          <w:rFonts w:hint="eastAsia" w:ascii="仿宋" w:hAnsi="仿宋" w:eastAsia="仿宋" w:cs="Times New Roman"/>
          <w:b/>
          <w:bCs/>
          <w:color w:val="auto"/>
          <w:sz w:val="32"/>
          <w:szCs w:val="32"/>
          <w14:ligatures w14:val="none"/>
        </w:rPr>
        <w:t>以及工作人员与投标企业双方签订的有效劳动合同书复印件</w:t>
      </w:r>
      <w:bookmarkEnd w:id="1"/>
      <w:r>
        <w:rPr>
          <w:rFonts w:hint="eastAsia" w:ascii="仿宋" w:hAnsi="仿宋" w:eastAsia="仿宋" w:cs="Times New Roman"/>
          <w:b/>
          <w:bCs/>
          <w:color w:val="auto"/>
          <w:sz w:val="32"/>
          <w:szCs w:val="32"/>
          <w14:ligatures w14:val="none"/>
        </w:rPr>
        <w:t>；②拟派安全员须提供安全管理资格证书复印件。</w:t>
      </w:r>
      <w:bookmarkEnd w:id="2"/>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3、投标单位需缴纳投标保证金10万元，未中标单位三个工作日内原额退还，中标单位自动转为履约保证金。履约保证金为非保证上限，征收服务公司仍需承担法律和经济的应有责任。待本项目审计结束，如无违规违约处罚的，保证金原额退还，如有违规违约处罚的，相应扣减后退还。</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四、具有下列情形的不得参与本次招标</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1、被列入廉政建设黑名单的单位；</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2、行业主管部门责令停牌期内的单位或纪监委建议停牌的单位；</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3、被列入扫黑除恶整治对象的单位；</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4、投标企业处于责令停业的；两年内有串通投标、骗取中标等违法记录的；“信用中国”记录为失信被执行人的；</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5、招标公告前一年内在房屋拆除作业中发生过安全生产责任事故的单位。</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五、对服务单位的具体要求</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1、按期完成。征收服务单位必须在规定的时限内完成相应工作。</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签约质量。洽谈拆迁协议前与评估单位办理评估结果的书面交接，协议内容、补偿额要符合评估结果和本项目方案规定，不得擅自超过评估结果签订拆迁协议；签订的拆迁合同要符合国家相关法律法规的规定；签约后及时向业主代理单位报送协议及相关资料。</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3、文明廉洁拆迁。工作人员带证上岗，无证人员不得参与拆迁谈判和现场管理；文明洽谈，依法签约，不得使用暴力、违法犯罪手段胁迫签约；实施文明工地管理，查清拆迁地块各类管线位置，保证管线安全，拆除过程不得损坏管线、不得污染环境；房屋拆除期间，现场设置扬尘防治设施，避免扬尘污染空气和周围环境；不得收受被拆迁人贿赂或与被拆迁人串通谋取不当利益，不得弄虚作假，如经核实有以上行为的，征收公司承担民事赔偿，并追究法律责任；在被拆企业搬离过程中提供力所能及的服务。</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4、安全管理。房屋拆除招标具有相应资质和安全作业条件的施工单位实施拆除；实施拆除前按照《建设工程安全生产管理条例》、《江苏省房屋建筑和市政基础设施拆除开挖安全管理办法》的规定，制定拆除施工方案，并报开发区住建局审批；派专职安全员进行现场拆房安全管理或聘请具有安全生产监管资质的公司，对拆除安全的相关手续和现场进行监督管理；接受所在街道、业主代理单位、区安全监管职能部门的安全监管，按要求落实拆房安全措施；承担拆房安全生产事故中应承担的法律责任和经济责任。</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5、建筑垃圾处置。建筑物拆除以后的建筑垃圾不得擅自处理，统一运送至区回收点。</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6、竣工验收和资料归档。在工期结束后及时向业主代理单位提交所有工程资料（具体内容在委托合同中明确），申请竣工验收。</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7、审计结算。竣工验收合格后配合业主代理单位进行审计结算，待完成审计后结清相关费用。</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六、服务费标准、支付方式</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服务费按标段计费（以评估报告为准），以评估结果总额为取费基数（含房屋、土地、附属物、可搬迁设备补偿、停业停产、搬迁费、停业停产增补，不含相关奖励费和非居一次性补贴等其他费用），按分段差额累进费率计费，并设置封顶数。</w:t>
      </w:r>
    </w:p>
    <w:tbl>
      <w:tblPr>
        <w:tblStyle w:val="17"/>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85"/>
        <w:gridCol w:w="4377"/>
        <w:gridCol w:w="1035"/>
        <w:gridCol w:w="14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88"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540" w:lineRule="exact"/>
              <w:jc w:val="center"/>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单位名称</w:t>
            </w:r>
          </w:p>
        </w:tc>
        <w:tc>
          <w:tcPr>
            <w:tcW w:w="2567"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widowControl/>
              <w:spacing w:after="0" w:line="540" w:lineRule="exact"/>
              <w:jc w:val="center"/>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分段标准</w:t>
            </w:r>
          </w:p>
        </w:tc>
        <w:tc>
          <w:tcPr>
            <w:tcW w:w="607"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540" w:lineRule="exact"/>
              <w:jc w:val="center"/>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费率</w:t>
            </w:r>
          </w:p>
        </w:tc>
        <w:tc>
          <w:tcPr>
            <w:tcW w:w="836"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540" w:lineRule="exact"/>
              <w:jc w:val="center"/>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封顶数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jc w:val="center"/>
        </w:trPr>
        <w:tc>
          <w:tcPr>
            <w:tcW w:w="988" w:type="pct"/>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0" w:line="540" w:lineRule="exact"/>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拆迁服务单位</w:t>
            </w:r>
          </w:p>
        </w:tc>
        <w:tc>
          <w:tcPr>
            <w:tcW w:w="256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after="0" w:line="540" w:lineRule="exact"/>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200万（含）以下</w:t>
            </w:r>
          </w:p>
        </w:tc>
        <w:tc>
          <w:tcPr>
            <w:tcW w:w="60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0" w:line="540" w:lineRule="exact"/>
              <w:jc w:val="center"/>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3%</w:t>
            </w:r>
          </w:p>
        </w:tc>
        <w:tc>
          <w:tcPr>
            <w:tcW w:w="836" w:type="pct"/>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0" w:line="540" w:lineRule="exact"/>
              <w:jc w:val="center"/>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45万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988" w:type="pct"/>
            <w:vMerge w:val="continue"/>
            <w:tcBorders>
              <w:top w:val="nil"/>
              <w:left w:val="single" w:color="auto" w:sz="8" w:space="0"/>
              <w:bottom w:val="single" w:color="auto" w:sz="8" w:space="0"/>
              <w:right w:val="single" w:color="auto" w:sz="8" w:space="0"/>
            </w:tcBorders>
            <w:shd w:val="clear" w:color="auto" w:fill="FFFFFF"/>
            <w:vAlign w:val="center"/>
          </w:tcPr>
          <w:p>
            <w:pPr>
              <w:widowControl/>
              <w:spacing w:after="0" w:line="540" w:lineRule="exact"/>
              <w:ind w:firstLine="640"/>
              <w:rPr>
                <w:rFonts w:hint="eastAsia" w:ascii="仿宋" w:hAnsi="仿宋" w:eastAsia="仿宋" w:cs="Times New Roman"/>
                <w:color w:val="auto"/>
                <w:sz w:val="32"/>
                <w:szCs w:val="32"/>
                <w14:ligatures w14:val="none"/>
              </w:rPr>
            </w:pPr>
          </w:p>
        </w:tc>
        <w:tc>
          <w:tcPr>
            <w:tcW w:w="256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after="0" w:line="540" w:lineRule="exact"/>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200万至1000万元（含）</w:t>
            </w:r>
          </w:p>
        </w:tc>
        <w:tc>
          <w:tcPr>
            <w:tcW w:w="60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0" w:line="540" w:lineRule="exact"/>
              <w:jc w:val="center"/>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1.5%</w:t>
            </w:r>
          </w:p>
        </w:tc>
        <w:tc>
          <w:tcPr>
            <w:tcW w:w="836" w:type="pct"/>
            <w:vMerge w:val="continue"/>
            <w:tcBorders>
              <w:top w:val="nil"/>
              <w:left w:val="single" w:color="auto" w:sz="8" w:space="0"/>
              <w:bottom w:val="single" w:color="auto" w:sz="8" w:space="0"/>
              <w:right w:val="single" w:color="auto" w:sz="8" w:space="0"/>
            </w:tcBorders>
            <w:shd w:val="clear" w:color="auto" w:fill="FFFFFF"/>
            <w:vAlign w:val="center"/>
          </w:tcPr>
          <w:p>
            <w:pPr>
              <w:widowControl/>
              <w:spacing w:after="0" w:line="540" w:lineRule="exact"/>
              <w:ind w:firstLine="640"/>
              <w:rPr>
                <w:rFonts w:hint="eastAsia" w:ascii="仿宋" w:hAnsi="仿宋" w:eastAsia="仿宋" w:cs="Times New Roman"/>
                <w:color w:val="auto"/>
                <w:sz w:val="32"/>
                <w:szCs w:val="32"/>
                <w14:ligatures w14: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988" w:type="pct"/>
            <w:vMerge w:val="continue"/>
            <w:tcBorders>
              <w:top w:val="nil"/>
              <w:left w:val="single" w:color="auto" w:sz="8" w:space="0"/>
              <w:bottom w:val="single" w:color="auto" w:sz="8" w:space="0"/>
              <w:right w:val="single" w:color="auto" w:sz="8" w:space="0"/>
            </w:tcBorders>
            <w:shd w:val="clear" w:color="auto" w:fill="FFFFFF"/>
            <w:vAlign w:val="center"/>
          </w:tcPr>
          <w:p>
            <w:pPr>
              <w:widowControl/>
              <w:spacing w:after="0" w:line="540" w:lineRule="exact"/>
              <w:ind w:firstLine="640"/>
              <w:rPr>
                <w:rFonts w:hint="eastAsia" w:ascii="仿宋" w:hAnsi="仿宋" w:eastAsia="仿宋" w:cs="Times New Roman"/>
                <w:color w:val="auto"/>
                <w:sz w:val="32"/>
                <w:szCs w:val="32"/>
                <w14:ligatures w14:val="none"/>
              </w:rPr>
            </w:pPr>
          </w:p>
        </w:tc>
        <w:tc>
          <w:tcPr>
            <w:tcW w:w="256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after="0" w:line="540" w:lineRule="exact"/>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1000万至3000万（含）以上</w:t>
            </w:r>
          </w:p>
        </w:tc>
        <w:tc>
          <w:tcPr>
            <w:tcW w:w="60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0" w:line="540" w:lineRule="exact"/>
              <w:jc w:val="center"/>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w:t>
            </w:r>
          </w:p>
        </w:tc>
        <w:tc>
          <w:tcPr>
            <w:tcW w:w="836" w:type="pct"/>
            <w:vMerge w:val="continue"/>
            <w:tcBorders>
              <w:top w:val="nil"/>
              <w:left w:val="single" w:color="auto" w:sz="8" w:space="0"/>
              <w:bottom w:val="single" w:color="auto" w:sz="8" w:space="0"/>
              <w:right w:val="single" w:color="auto" w:sz="8" w:space="0"/>
            </w:tcBorders>
            <w:shd w:val="clear" w:color="auto" w:fill="FFFFFF"/>
            <w:vAlign w:val="center"/>
          </w:tcPr>
          <w:p>
            <w:pPr>
              <w:widowControl/>
              <w:spacing w:after="0" w:line="540" w:lineRule="exact"/>
              <w:ind w:firstLine="640"/>
              <w:rPr>
                <w:rFonts w:hint="eastAsia" w:ascii="仿宋" w:hAnsi="仿宋" w:eastAsia="仿宋" w:cs="Times New Roman"/>
                <w:color w:val="auto"/>
                <w:sz w:val="32"/>
                <w:szCs w:val="32"/>
                <w14:ligatures w14: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988" w:type="pct"/>
            <w:vMerge w:val="continue"/>
            <w:tcBorders>
              <w:top w:val="nil"/>
              <w:left w:val="single" w:color="auto" w:sz="8" w:space="0"/>
              <w:bottom w:val="single" w:color="auto" w:sz="8" w:space="0"/>
              <w:right w:val="single" w:color="auto" w:sz="8" w:space="0"/>
            </w:tcBorders>
            <w:shd w:val="clear" w:color="auto" w:fill="FFFFFF"/>
            <w:vAlign w:val="center"/>
          </w:tcPr>
          <w:p>
            <w:pPr>
              <w:widowControl/>
              <w:spacing w:after="0" w:line="540" w:lineRule="exact"/>
              <w:ind w:firstLine="640"/>
              <w:rPr>
                <w:rFonts w:hint="eastAsia" w:ascii="仿宋" w:hAnsi="仿宋" w:eastAsia="仿宋" w:cs="Times New Roman"/>
                <w:color w:val="auto"/>
                <w:sz w:val="32"/>
                <w:szCs w:val="32"/>
                <w14:ligatures w14:val="none"/>
              </w:rPr>
            </w:pPr>
          </w:p>
        </w:tc>
        <w:tc>
          <w:tcPr>
            <w:tcW w:w="256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after="0" w:line="540" w:lineRule="exact"/>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3000万以上</w:t>
            </w:r>
          </w:p>
        </w:tc>
        <w:tc>
          <w:tcPr>
            <w:tcW w:w="60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after="0" w:line="540" w:lineRule="exact"/>
              <w:jc w:val="center"/>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0.5%</w:t>
            </w:r>
          </w:p>
        </w:tc>
        <w:tc>
          <w:tcPr>
            <w:tcW w:w="836" w:type="pct"/>
            <w:vMerge w:val="continue"/>
            <w:tcBorders>
              <w:top w:val="nil"/>
              <w:left w:val="single" w:color="auto" w:sz="8" w:space="0"/>
              <w:bottom w:val="single" w:color="auto" w:sz="8" w:space="0"/>
              <w:right w:val="single" w:color="auto" w:sz="8" w:space="0"/>
            </w:tcBorders>
            <w:shd w:val="clear" w:color="auto" w:fill="FFFFFF"/>
            <w:vAlign w:val="center"/>
          </w:tcPr>
          <w:p>
            <w:pPr>
              <w:widowControl/>
              <w:spacing w:after="0" w:line="540" w:lineRule="exact"/>
              <w:ind w:firstLine="640"/>
              <w:rPr>
                <w:rFonts w:hint="eastAsia" w:ascii="仿宋" w:hAnsi="仿宋" w:eastAsia="仿宋" w:cs="Times New Roman"/>
                <w:color w:val="auto"/>
                <w:sz w:val="32"/>
                <w:szCs w:val="32"/>
                <w14:ligatures w14:val="none"/>
              </w:rPr>
            </w:pPr>
          </w:p>
        </w:tc>
      </w:tr>
    </w:tbl>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规定期限未完成拆迁协议签订和拆除清场，或违反委托合同约定的，按委托合同约定处罚。规定期限具体以有关部门批准的项目实施方案为准。</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2、投标单位中标后未按本招标公告和投标文件15日内签订合同，招标人或代理人有权处置投标保证金，并撤销本项目实施资格，并向行业主管部门通报。</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七、标书内容</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1、投标申请书；</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2、营业执照复印件和准入证书复印件（加盖公章）、法定代表人身份证明、授权委托书；</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3、以往实施的拆迁工程的业绩；</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4、拆迁实施方案：拆迁人员配备及安排一览表（所配备人员在本项目完成前不得参与其它拆迁项目）、推进措施、工期内不能完成的处置办法、确保业务质量的措施、廉政监管措施、拆房安全现场管理和拆房时干扰因素排除措施、按规定制定和落实拆房过程中的防尘措施；</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5、违约认罚、保证金、廉洁承诺书；</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6、派驻本项目的所有工作人员上岗证</w:t>
      </w:r>
      <w:bookmarkStart w:id="3" w:name="OLE_LINK3"/>
      <w:r>
        <w:rPr>
          <w:rFonts w:hint="eastAsia" w:ascii="仿宋" w:hAnsi="仿宋" w:eastAsia="仿宋" w:cs="Times New Roman"/>
          <w:color w:val="auto"/>
          <w:sz w:val="32"/>
          <w:szCs w:val="32"/>
          <w14:ligatures w14:val="none"/>
        </w:rPr>
        <w:t>副本原件</w:t>
      </w:r>
      <w:bookmarkEnd w:id="3"/>
      <w:r>
        <w:rPr>
          <w:rFonts w:hint="eastAsia" w:ascii="仿宋" w:hAnsi="仿宋" w:eastAsia="仿宋" w:cs="Times New Roman"/>
          <w:color w:val="auto"/>
          <w:sz w:val="32"/>
          <w:szCs w:val="32"/>
          <w14:ligatures w14:val="none"/>
        </w:rPr>
        <w:t>、工作人员与投标企业双方签订的有效劳动合同书复印件；</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7、派驻本项目的安全员的安全管理资格证书复印件；</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8、向南通开发区房屋征收中心有限公司缴纳投标保证金10万元的缴款凭证。（开户行：建设银行开发区支行；账号：32001642336052514617）；</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9、投标书分正、副本各壹份。</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八、投标、评标时间和地点</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投标截止时间：2025年12月08日10时00分</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投标地点：南通开发区宏兴路9号能达大厦923室</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投标联系人：黄卫忠    电话：13646285031</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评标时间：2025年12月08日14时00分</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评标地点：南通市经济技术开发区公共资源交易中心（能达大厦东裙楼五楼招标室）。投标单位的负责人或项目经理必须按时参加评标会议、履行相关程序。评标结束当场公布评标结果。</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九、废标规定</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1、投标人未在提交投标文件的截止时间前将投标文件送达投标地点；</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2、投标人未按本公告内容如实提供材料或提供虚假材料；</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3、投标人未按时提交保证金；</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4、招投标相关法律、法规规定的其他废标条款。</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十、评标办法</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1、评标小组会审标书，去除废标。符合入围条件少于8家单位的，招标中止，另行公告招标；入围条件大于等于8家的进入评标程序。</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2、入围的投标单位</w:t>
      </w:r>
      <w:bookmarkStart w:id="4" w:name="OLE_LINK2"/>
      <w:r>
        <w:rPr>
          <w:rFonts w:hint="eastAsia" w:ascii="仿宋" w:hAnsi="仿宋" w:eastAsia="仿宋" w:cs="Times New Roman"/>
          <w:color w:val="auto"/>
          <w:sz w:val="32"/>
          <w:szCs w:val="32"/>
          <w14:ligatures w14:val="none"/>
        </w:rPr>
        <w:t>负责人或项目经理</w:t>
      </w:r>
      <w:bookmarkEnd w:id="4"/>
      <w:r>
        <w:rPr>
          <w:rFonts w:hint="eastAsia" w:ascii="仿宋" w:hAnsi="仿宋" w:eastAsia="仿宋" w:cs="Times New Roman"/>
          <w:color w:val="auto"/>
          <w:sz w:val="32"/>
          <w:szCs w:val="32"/>
          <w14:ligatures w14:val="none"/>
        </w:rPr>
        <w:t>对近三年企业所参加的重点地块（如开发区重点经营性地块扫尾成绩、新时代未来产业园等）拆迁推进情况和实施方案进行现场说明，并接受评标小组的提问。</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3、评标小组成员分别对入围单位评分，计分表附后。</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4、由监票员和计分员对计分表汇总计分。</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5、按得分排名，得分前七名的为中标单位；如出现第七名得分相同的单位通过抽签确定。</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十一、中标单位义务</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1、实施期间参与人员上岗证副本原件交区征收处收存管理，项目现场验收合格后退还。</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2、一名副总经理以上担任项目经理，且全程参与拆迁协议谈判和现场管理。</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3、须聘请律师作为本项目的法律顾问，确保签订的协议符合法律规定。中标后一星期内须将聘请律师合同原件、律师证复印件交征收处备案。</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4、中标征收公司必须将工作人员名单报至小海街办，并明确上述人员在本项目从业行为与本单位承担连带责任，名单以外的人员未经同意不得从事协议签订、洽谈等工作。在项目实施期间在街道现场指挥部集中用餐的，按人数预交用餐费。</w:t>
      </w:r>
    </w:p>
    <w:p>
      <w:pPr>
        <w:widowControl/>
        <w:spacing w:after="0" w:line="540" w:lineRule="exact"/>
        <w:ind w:firstLine="640"/>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5、房屋拆除和安全管理。征收公司将房屋腾空后，通知业主代理单位、街道安全监督部门和委托安全生产监督管理资质的公司、主管局安全管理人员进行验收，验收包括：房屋是否按要求腾空、有无干扰和安全隐患、是否聘请了具有安全生产监督管理资质的公司、专职安全员是否到位、现场安全措施是否按要求落实、是否进行了安全方案备案，拆房公司设备、人员、资质是否合规等拆房前的条件，验收合格后，方可实施拆房。</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十二、本招标书作为后期与征收服务公司签订委托实施征迁合同的组成部分，具有同等法律效力。</w:t>
      </w:r>
    </w:p>
    <w:p>
      <w:pPr>
        <w:widowControl/>
        <w:spacing w:after="0" w:line="540" w:lineRule="exact"/>
        <w:ind w:firstLine="640"/>
        <w:rPr>
          <w:rFonts w:hint="eastAsia" w:ascii="国标宋体" w:hAnsi="国标宋体" w:eastAsia="国标宋体" w:cs="国标宋体"/>
          <w:b/>
          <w:bCs/>
          <w:color w:val="auto"/>
          <w:sz w:val="32"/>
          <w:szCs w:val="32"/>
          <w14:ligatures w14:val="none"/>
        </w:rPr>
      </w:pPr>
      <w:r>
        <w:rPr>
          <w:rFonts w:hint="eastAsia" w:ascii="国标宋体" w:hAnsi="国标宋体" w:eastAsia="国标宋体" w:cs="国标宋体"/>
          <w:b/>
          <w:bCs/>
          <w:color w:val="auto"/>
          <w:sz w:val="32"/>
          <w:szCs w:val="32"/>
          <w14:ligatures w14:val="none"/>
        </w:rPr>
        <w:t>十三、本招标书解释权归招标人。</w:t>
      </w:r>
    </w:p>
    <w:p>
      <w:pPr>
        <w:widowControl/>
        <w:spacing w:after="0" w:line="540" w:lineRule="exact"/>
        <w:ind w:firstLine="640"/>
        <w:rPr>
          <w:rFonts w:hint="eastAsia" w:ascii="仿宋" w:hAnsi="仿宋" w:eastAsia="仿宋" w:cs="Times New Roman"/>
          <w:color w:val="auto"/>
          <w:sz w:val="32"/>
          <w:szCs w:val="32"/>
          <w14:ligatures w14:val="none"/>
        </w:rPr>
      </w:pPr>
    </w:p>
    <w:p>
      <w:pPr>
        <w:widowControl/>
        <w:spacing w:after="0" w:line="540" w:lineRule="exact"/>
        <w:ind w:firstLine="640"/>
        <w:rPr>
          <w:rFonts w:hint="eastAsia" w:ascii="仿宋" w:hAnsi="仿宋" w:eastAsia="仿宋" w:cs="Times New Roman"/>
          <w:color w:val="auto"/>
          <w:sz w:val="32"/>
          <w:szCs w:val="32"/>
          <w14:ligatures w14:val="none"/>
        </w:rPr>
      </w:pPr>
    </w:p>
    <w:p>
      <w:pPr>
        <w:widowControl/>
        <w:spacing w:after="0" w:line="540" w:lineRule="exact"/>
        <w:ind w:firstLine="3484" w:firstLineChars="1089"/>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招标人：南通市小海街道办事处</w:t>
      </w:r>
    </w:p>
    <w:p>
      <w:pPr>
        <w:widowControl/>
        <w:spacing w:after="0" w:line="540" w:lineRule="exact"/>
        <w:ind w:firstLine="4124" w:firstLineChars="1289"/>
        <w:rPr>
          <w:rFonts w:hint="eastAsia"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2025年12月01日</w:t>
      </w:r>
    </w:p>
    <w:p>
      <w:pPr>
        <w:widowControl/>
        <w:spacing w:after="0" w:line="540" w:lineRule="exact"/>
        <w:ind w:firstLine="640"/>
        <w:rPr>
          <w:rFonts w:hint="eastAsia" w:ascii="仿宋" w:hAnsi="仿宋" w:eastAsia="仿宋" w:cs="Times New Roman"/>
          <w:color w:val="auto"/>
          <w:sz w:val="32"/>
          <w:szCs w:val="32"/>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4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38"/>
    <w:rsid w:val="00045F23"/>
    <w:rsid w:val="001D6774"/>
    <w:rsid w:val="002411B4"/>
    <w:rsid w:val="002D1301"/>
    <w:rsid w:val="003143F2"/>
    <w:rsid w:val="00315E1D"/>
    <w:rsid w:val="00354027"/>
    <w:rsid w:val="00382E3F"/>
    <w:rsid w:val="00504292"/>
    <w:rsid w:val="005A63B5"/>
    <w:rsid w:val="005D6761"/>
    <w:rsid w:val="00746D94"/>
    <w:rsid w:val="00924881"/>
    <w:rsid w:val="00940DF4"/>
    <w:rsid w:val="009930BF"/>
    <w:rsid w:val="009E1575"/>
    <w:rsid w:val="00AA5B38"/>
    <w:rsid w:val="00B044EA"/>
    <w:rsid w:val="00B278DD"/>
    <w:rsid w:val="00B4485E"/>
    <w:rsid w:val="00BE6B75"/>
    <w:rsid w:val="00C241D0"/>
    <w:rsid w:val="00E74BA1"/>
    <w:rsid w:val="13CD2145"/>
    <w:rsid w:val="3E7D6B34"/>
    <w:rsid w:val="6E7E8184"/>
    <w:rsid w:val="7C730FA7"/>
    <w:rsid w:val="7FBC9989"/>
    <w:rsid w:val="BEDD43B0"/>
    <w:rsid w:val="BEFF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0"/>
    <w:semiHidden/>
    <w:unhideWhenUsed/>
    <w:qFormat/>
    <w:uiPriority w:val="99"/>
    <w:pPr>
      <w:spacing w:after="0" w:line="240" w:lineRule="auto"/>
    </w:pPr>
    <w:rPr>
      <w:sz w:val="18"/>
      <w:szCs w:val="18"/>
    </w:rPr>
  </w:style>
  <w:style w:type="paragraph" w:styleId="12">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0"/>
    <w:pPr>
      <w:spacing w:beforeAutospacing="1" w:afterAutospacing="1"/>
    </w:pPr>
    <w:rPr>
      <w:rFonts w:cs="Times New Roman"/>
      <w:kern w:val="0"/>
      <w:sz w:val="24"/>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9"/>
    <w:link w:val="5"/>
    <w:semiHidden/>
    <w:qFormat/>
    <w:uiPriority w:val="9"/>
    <w:rPr>
      <w:rFonts w:cstheme="majorBidi"/>
      <w:color w:val="2F5597" w:themeColor="accent1" w:themeShade="BF"/>
      <w:sz w:val="28"/>
      <w:szCs w:val="28"/>
    </w:rPr>
  </w:style>
  <w:style w:type="character" w:customStyle="1" w:styleId="24">
    <w:name w:val="标题 5 字符"/>
    <w:basedOn w:val="19"/>
    <w:link w:val="6"/>
    <w:semiHidden/>
    <w:qFormat/>
    <w:uiPriority w:val="9"/>
    <w:rPr>
      <w:rFonts w:cstheme="majorBidi"/>
      <w:color w:val="2F5597" w:themeColor="accent1" w:themeShade="BF"/>
      <w:sz w:val="24"/>
    </w:rPr>
  </w:style>
  <w:style w:type="character" w:customStyle="1" w:styleId="25">
    <w:name w:val="标题 6 字符"/>
    <w:basedOn w:val="19"/>
    <w:link w:val="7"/>
    <w:semiHidden/>
    <w:qFormat/>
    <w:uiPriority w:val="9"/>
    <w:rPr>
      <w:rFonts w:cstheme="majorBidi"/>
      <w:b/>
      <w:bCs/>
      <w:color w:val="2F5597"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9"/>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9"/>
    <w:link w:val="35"/>
    <w:qFormat/>
    <w:uiPriority w:val="30"/>
    <w:rPr>
      <w:i/>
      <w:iCs/>
      <w:color w:val="2F5597" w:themeColor="accent1" w:themeShade="BF"/>
    </w:rPr>
  </w:style>
  <w:style w:type="character" w:customStyle="1" w:styleId="37">
    <w:name w:val="明显参考1"/>
    <w:basedOn w:val="19"/>
    <w:qFormat/>
    <w:uiPriority w:val="32"/>
    <w:rPr>
      <w:b/>
      <w:bCs/>
      <w:smallCaps/>
      <w:color w:val="2F5597" w:themeColor="accent1" w:themeShade="BF"/>
      <w:spacing w:val="5"/>
    </w:rPr>
  </w:style>
  <w:style w:type="character" w:customStyle="1" w:styleId="38">
    <w:name w:val="页眉 字符"/>
    <w:basedOn w:val="19"/>
    <w:link w:val="13"/>
    <w:qFormat/>
    <w:uiPriority w:val="99"/>
    <w:rPr>
      <w:sz w:val="18"/>
      <w:szCs w:val="18"/>
    </w:rPr>
  </w:style>
  <w:style w:type="character" w:customStyle="1" w:styleId="39">
    <w:name w:val="页脚 字符"/>
    <w:basedOn w:val="19"/>
    <w:link w:val="12"/>
    <w:qFormat/>
    <w:uiPriority w:val="99"/>
    <w:rPr>
      <w:sz w:val="18"/>
      <w:szCs w:val="18"/>
    </w:rPr>
  </w:style>
  <w:style w:type="character" w:customStyle="1" w:styleId="40">
    <w:name w:val="批注框文本 字符"/>
    <w:basedOn w:val="19"/>
    <w:link w:val="11"/>
    <w:semiHidden/>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516</Words>
  <Characters>2946</Characters>
  <Lines>24</Lines>
  <Paragraphs>6</Paragraphs>
  <TotalTime>0</TotalTime>
  <ScaleCrop>false</ScaleCrop>
  <LinksUpToDate>false</LinksUpToDate>
  <CharactersWithSpaces>3456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2025-12-02T01:05:00Z</dcterms:created>
  <dc:creator>admin</dc:creator>
  <cp:lastModifiedBy>kylin</cp:lastModifiedBy>
  <cp:lastPrinted>2025-12-02T03:31:00Z</cp:lastPrinted>
  <dcterms:modified xsi:type="dcterms:W3CDTF">2025-12-01T17:21:13Z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4819915F271FD62A335B2D69F0D5CAB9</vt:lpwstr>
  </property>
  <property fmtid="{D5CDD505-2E9C-101B-9397-08002B2CF9AE}" pid="4" name="KSOTemplateDocerSaveRecord">
    <vt:lpwstr>eyJoZGlkIjoiMzNhNjJiMDZiZDA4ZDc3ZTE0MjRhZjNiMDA4YWY0MGUiLCJ1c2VySWQiOiI1NjkzNzA3NjYifQ==</vt:lpwstr>
  </property>
</Properties>
</file>