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F734"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马鞍山市花山区消防救援大队及二站2026年物业管理服务代理服务费收费标准：</w:t>
      </w:r>
    </w:p>
    <w:p w14:paraId="4C92A042">
      <w:pPr>
        <w:pStyle w:val="3"/>
        <w:rPr>
          <w:rFonts w:hint="eastAsia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835"/>
      </w:tblGrid>
      <w:tr w14:paraId="24D2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4" w:type="dxa"/>
            <w:noWrap w:val="0"/>
            <w:vAlign w:val="center"/>
          </w:tcPr>
          <w:p w14:paraId="07CBFB8B"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835" w:type="dxa"/>
            <w:noWrap w:val="0"/>
            <w:vAlign w:val="center"/>
          </w:tcPr>
          <w:p w14:paraId="18003607">
            <w:pPr>
              <w:snapToGrid w:val="0"/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本项目是否须向代理机构交纳代理服务费：√是；□否</w:t>
            </w:r>
          </w:p>
          <w:p w14:paraId="5507F790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代理服务费按以下收费标准收取（人民币）：与采购人协商确定为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000元</w:t>
            </w:r>
          </w:p>
          <w:p w14:paraId="53CF47FB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2.本项目代理服务费由成交供应商支付</w:t>
            </w:r>
          </w:p>
          <w:p w14:paraId="47B8BFDA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3.代理服务费以现金、或汇款支付（户名、纳税人识别号、开户银行、银行账号如下：）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shd w:val="clear" w:color="auto" w:fill="FFFF00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2"/>
              <w:gridCol w:w="6520"/>
            </w:tblGrid>
            <w:tr w14:paraId="19C3504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shd w:val="clear" w:color="auto" w:fill="FFFF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2" w:type="dxa"/>
                  <w:shd w:val="clear" w:color="auto" w:fill="auto"/>
                  <w:noWrap w:val="0"/>
                  <w:vAlign w:val="top"/>
                </w:tcPr>
                <w:p w14:paraId="31547D64">
                  <w:pPr>
                    <w:spacing w:line="276" w:lineRule="auto"/>
                    <w:jc w:val="left"/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  <w:t>账户名称：</w:t>
                  </w:r>
                </w:p>
              </w:tc>
              <w:tc>
                <w:tcPr>
                  <w:tcW w:w="6520" w:type="dxa"/>
                  <w:shd w:val="clear" w:color="auto" w:fill="auto"/>
                  <w:noWrap w:val="0"/>
                  <w:vAlign w:val="top"/>
                </w:tcPr>
                <w:p w14:paraId="212D077C">
                  <w:pPr>
                    <w:spacing w:line="276" w:lineRule="auto"/>
                    <w:jc w:val="left"/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  <w:t>安徽双赢招投标咨询有限责任公司</w:t>
                  </w:r>
                </w:p>
              </w:tc>
            </w:tr>
            <w:tr w14:paraId="13784A39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2" w:type="dxa"/>
                  <w:shd w:val="clear" w:color="auto" w:fill="auto"/>
                  <w:noWrap w:val="0"/>
                  <w:vAlign w:val="top"/>
                </w:tcPr>
                <w:p w14:paraId="3CED1841">
                  <w:pPr>
                    <w:spacing w:line="276" w:lineRule="auto"/>
                    <w:jc w:val="left"/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  <w:t>纳税人识别号：</w:t>
                  </w:r>
                </w:p>
              </w:tc>
              <w:tc>
                <w:tcPr>
                  <w:tcW w:w="6520" w:type="dxa"/>
                  <w:shd w:val="clear" w:color="auto" w:fill="auto"/>
                  <w:noWrap w:val="0"/>
                  <w:vAlign w:val="top"/>
                </w:tcPr>
                <w:p w14:paraId="36EB2039">
                  <w:pPr>
                    <w:spacing w:line="276" w:lineRule="auto"/>
                    <w:jc w:val="left"/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  <w:t>913405007950888182</w:t>
                  </w:r>
                </w:p>
              </w:tc>
            </w:tr>
            <w:tr w14:paraId="2A89E87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2" w:type="dxa"/>
                  <w:shd w:val="clear" w:color="auto" w:fill="auto"/>
                  <w:noWrap w:val="0"/>
                  <w:vAlign w:val="top"/>
                </w:tcPr>
                <w:p w14:paraId="53D007DA">
                  <w:pPr>
                    <w:spacing w:line="276" w:lineRule="auto"/>
                    <w:jc w:val="left"/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  <w:t>开户银行：</w:t>
                  </w:r>
                </w:p>
              </w:tc>
              <w:tc>
                <w:tcPr>
                  <w:tcW w:w="6520" w:type="dxa"/>
                  <w:shd w:val="clear" w:color="auto" w:fill="auto"/>
                  <w:noWrap w:val="0"/>
                  <w:vAlign w:val="top"/>
                </w:tcPr>
                <w:p w14:paraId="05A2147D">
                  <w:pPr>
                    <w:spacing w:line="276" w:lineRule="auto"/>
                    <w:jc w:val="left"/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  <w:t>徽商银行马鞍山花山支行</w:t>
                  </w:r>
                </w:p>
              </w:tc>
            </w:tr>
            <w:tr w14:paraId="54D9FC3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2" w:type="dxa"/>
                  <w:shd w:val="clear" w:color="auto" w:fill="auto"/>
                  <w:noWrap w:val="0"/>
                  <w:vAlign w:val="top"/>
                </w:tcPr>
                <w:p w14:paraId="24CBF581">
                  <w:pPr>
                    <w:spacing w:line="276" w:lineRule="auto"/>
                    <w:jc w:val="left"/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  <w:t>银行账号：</w:t>
                  </w:r>
                </w:p>
              </w:tc>
              <w:tc>
                <w:tcPr>
                  <w:tcW w:w="6520" w:type="dxa"/>
                  <w:shd w:val="clear" w:color="auto" w:fill="auto"/>
                  <w:noWrap w:val="0"/>
                  <w:vAlign w:val="top"/>
                </w:tcPr>
                <w:p w14:paraId="3A2B79FA">
                  <w:pPr>
                    <w:spacing w:line="276" w:lineRule="auto"/>
                    <w:jc w:val="left"/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 w:val="24"/>
                      <w:szCs w:val="24"/>
                    </w:rPr>
                    <w:t>1560901021000012938</w:t>
                  </w:r>
                </w:p>
              </w:tc>
            </w:tr>
          </w:tbl>
          <w:p w14:paraId="406FC9F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4.开票电子邮箱：3292687058@qq.com</w:t>
            </w:r>
          </w:p>
          <w:p w14:paraId="2E284176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5.开票联系方式：苏会计 0555-2229859</w:t>
            </w:r>
          </w:p>
          <w:p w14:paraId="624B04E5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注：供应商磋商响应时应考虑采购代理服务费的支付成本。</w:t>
            </w:r>
            <w:bookmarkStart w:id="0" w:name="_GoBack"/>
            <w:bookmarkEnd w:id="0"/>
          </w:p>
        </w:tc>
      </w:tr>
    </w:tbl>
    <w:p w14:paraId="03E4C3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17D22"/>
    <w:rsid w:val="11EA13A9"/>
    <w:rsid w:val="2076224B"/>
    <w:rsid w:val="486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tabs>
        <w:tab w:val="left" w:pos="0"/>
        <w:tab w:val="left" w:pos="993"/>
        <w:tab w:val="left" w:pos="1134"/>
      </w:tabs>
      <w:spacing w:line="360" w:lineRule="auto"/>
      <w:ind w:firstLine="0"/>
      <w:jc w:val="left"/>
    </w:pPr>
    <w:rPr>
      <w:rFonts w:ascii="宋体" w:hAnsi="宋体" w:eastAsia="仿宋_GB2312" w:cs="宋体"/>
      <w:kern w:val="2"/>
      <w:sz w:val="28"/>
      <w:szCs w:val="28"/>
      <w:lang w:val="en-US" w:eastAsia="zh-CN" w:bidi="ar-SA"/>
    </w:rPr>
  </w:style>
  <w:style w:type="paragraph" w:styleId="3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Body Text Indent"/>
    <w:next w:val="5"/>
    <w:qFormat/>
    <w:uiPriority w:val="0"/>
    <w:pPr>
      <w:widowControl w:val="0"/>
      <w:ind w:firstLine="645"/>
      <w:jc w:val="both"/>
    </w:pPr>
    <w:rPr>
      <w:rFonts w:ascii="Arial" w:hAnsi="Arial" w:eastAsia="仿宋_GB2312" w:cs="Times New Roman"/>
      <w:kern w:val="2"/>
      <w:sz w:val="28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319</Characters>
  <Lines>0</Lines>
  <Paragraphs>0</Paragraphs>
  <TotalTime>0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2026-02-04T02:15:00Z</dcterms:created>
  <dc:creator>-小-曦 -</dc:creator>
  <cp:lastModifiedBy>-小-曦 -</cp:lastModifiedBy>
  <dcterms:modified xsi:type="dcterms:W3CDTF">2026-02-10T09:20:35Z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7B9E43B13CE0419B8A5EA7D489A78AA0_11</vt:lpwstr>
  </property>
  <property fmtid="{D5CDD505-2E9C-101B-9397-08002B2CF9AE}" pid="4" name="KSOTemplateDocerSaveRecord">
    <vt:lpwstr>eyJoZGlkIjoiNDU0NjRiMjhkY2Q4YzRmMjBiMTdhNTA2NjVmNDEzOTAiLCJ1c2VySWQiOiI0MjQ2OTMyOTIifQ==</vt:lpwstr>
  </property>
</Properties>
</file>